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1418" w:right="-144"/>
        <w:jc w:val="right"/>
      </w:pPr>
      <w:r>
        <w:t xml:space="preserve">Приложение 2</w:t>
      </w:r>
    </w:p>
    <w:p>
      <w:pPr>
        <w:ind w:left="1418" w:right="-144"/>
        <w:jc w:val="right"/>
      </w:pPr>
    </w:p>
    <w:p>
      <w:pPr>
        <w:ind w:left="1418" w:right="-144"/>
        <w:jc w:val="right"/>
      </w:pPr>
    </w:p>
    <w:p>
      <w:pPr>
        <w:ind w:left="680" w:right="-144" w:firstLine="567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Расчеты </w:t>
      </w:r>
      <w:r>
        <w:rPr>
          <w:sz w:val="32"/>
          <w:szCs w:val="32"/>
        </w:rPr>
        <w:t xml:space="preserve">администрируемых доходов на 202</w:t>
      </w:r>
      <w:r>
        <w:rPr>
          <w:sz w:val="32"/>
          <w:szCs w:val="32"/>
        </w:rPr>
        <w:t xml:space="preserve">6 год и плановый период 202</w:t>
      </w:r>
      <w:r>
        <w:rPr>
          <w:sz w:val="32"/>
          <w:szCs w:val="32"/>
        </w:rPr>
        <w:t xml:space="preserve">7 и 202</w:t>
      </w:r>
      <w:r>
        <w:rPr>
          <w:sz w:val="32"/>
          <w:szCs w:val="32"/>
        </w:rPr>
        <w:t xml:space="preserve">8 годов </w:t>
      </w:r>
      <w:r>
        <w:rPr>
          <w:sz w:val="32"/>
          <w:szCs w:val="32"/>
        </w:rPr>
        <w:t xml:space="preserve">управления делами Губернатора Новосибирской области и </w:t>
      </w:r>
      <w:r>
        <w:rPr>
          <w:sz w:val="32"/>
          <w:szCs w:val="32"/>
        </w:rPr>
        <w:t xml:space="preserve">Правительства </w:t>
      </w:r>
      <w:r>
        <w:rPr>
          <w:sz w:val="32"/>
          <w:szCs w:val="32"/>
        </w:rPr>
        <w:t xml:space="preserve">Новосибирской</w:t>
      </w:r>
      <w:r>
        <w:rPr>
          <w:sz w:val="32"/>
          <w:szCs w:val="32"/>
        </w:rPr>
        <w:t xml:space="preserve"> области.</w:t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ind w:left="680" w:right="-144" w:firstLine="567"/>
        <w:jc w:val="center"/>
        <w:rPr>
          <w:sz w:val="32"/>
          <w:szCs w:val="32"/>
        </w:rPr>
      </w:pPr>
      <w:r>
        <w:rPr>
          <w:sz w:val="32"/>
          <w:szCs w:val="32"/>
        </w:rPr>
      </w:r>
      <w:r>
        <w:rPr>
          <w:sz w:val="32"/>
          <w:szCs w:val="32"/>
        </w:rPr>
      </w:r>
      <w:r>
        <w:rPr>
          <w:sz w:val="32"/>
          <w:szCs w:val="32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rFonts w:eastAsia="Calibri"/>
          <w:highlight w:val="white"/>
        </w:rPr>
      </w:pPr>
      <w:r>
        <w:rPr>
          <w:b/>
        </w:rPr>
        <w:t xml:space="preserve">1</w:t>
      </w:r>
      <w:r>
        <w:t xml:space="preserve">.</w:t>
      </w:r>
      <w:r>
        <w:rPr>
          <w:rFonts w:eastAsia="Calibri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Р</w:t>
      </w:r>
      <w:r>
        <w:rPr>
          <w:rFonts w:eastAsia="Calibri"/>
          <w:highlight w:val="white"/>
          <w:lang w:eastAsia="en-US"/>
        </w:rPr>
        <w:t xml:space="preserve">асчет прогнозного объема поступлений, по коду доходов 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rFonts w:eastAsia="Calibri"/>
          <w:highlight w:val="white"/>
        </w:rPr>
      </w:pPr>
      <w:r>
        <w:rPr>
          <w:rFonts w:eastAsia="Calibri"/>
          <w:highlight w:val="white"/>
          <w:lang w:eastAsia="en-US"/>
        </w:rPr>
      </w:r>
      <w:r>
        <w:rPr>
          <w:rFonts w:eastAsia="Calibri"/>
          <w:b/>
          <w:highlight w:val="white"/>
          <w:lang w:eastAsia="en-US"/>
        </w:rPr>
        <w:t xml:space="preserve">006 1 08 07142 01 1000 </w:t>
      </w:r>
      <w:r>
        <w:rPr>
          <w:rFonts w:eastAsia="Calibri"/>
          <w:b/>
          <w:highlight w:val="white"/>
          <w:lang w:eastAsia="en-US"/>
        </w:rPr>
        <w:t xml:space="preserve">110</w:t>
      </w:r>
      <w:r>
        <w:rPr>
          <w:b/>
          <w:sz w:val="16"/>
          <w:szCs w:val="16"/>
          <w:highlight w:val="white"/>
        </w:rPr>
        <w:t xml:space="preserve">  </w:t>
      </w:r>
      <w:r>
        <w:rPr>
          <w:b/>
          <w:highlight w:val="white"/>
        </w:rPr>
        <w:t xml:space="preserve">«Государственная пошлина за совершение действий уполномоченными орг</w:t>
      </w:r>
      <w:r>
        <w:rPr>
          <w:b/>
          <w:highlight w:val="white"/>
        </w:rPr>
        <w:t xml:space="preserve">анами исполнительной власти субъектов Российской Федерации, связанных с выдачей документов о проведении государственного технического осмотра тракторов, самоходных дорожно-строительных и иных самоходных машин и прицепов к ним, государственной регистрацией </w:t>
      </w:r>
      <w:r>
        <w:rPr>
          <w:b/>
          <w:highlight w:val="white"/>
        </w:rPr>
        <w:t xml:space="preserve">мототранспортных</w:t>
      </w:r>
      <w:r>
        <w:rPr>
          <w:b/>
          <w:highlight w:val="white"/>
        </w:rPr>
        <w:t xml:space="preserve"> средств, приц</w:t>
      </w:r>
      <w:r>
        <w:rPr>
          <w:b/>
          <w:highlight w:val="white"/>
        </w:rPr>
        <w:t xml:space="preserve">епов, тракторов, самоходных дорожно-строительных и иных самоходных машин, выдачей удостоверений тракториста-машиниста (тракториста), временных удостоверений на право управления самоходными машинами, в том числе взамен утраченных или пришедших в негодность»</w:t>
      </w:r>
      <w:r>
        <w:rPr>
          <w:highlight w:val="white"/>
        </w:rPr>
        <w:t xml:space="preserve">, осуществляется исходя из: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- прогнозируемого к оказанию в очередном финансовом году и плановом периоде количества государственных услуг, при предоставлении которых взимается государственная пошлина;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-размера соответствующей государственной пошлины (с учетом планируемых изменений законодательства в части изменения размера платежей).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Применяется метод прямого расчета прогнозируемого объема поступлений доходов по каждому виду государственной пошлины: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center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center"/>
        <w:rPr>
          <w:highlight w:val="white"/>
        </w:rPr>
      </w:pPr>
      <w:r>
        <w:rPr>
          <w:highlight w:val="white"/>
        </w:rPr>
        <w:t xml:space="preserve">Д= </w:t>
      </w:r>
      <w:r>
        <w:rPr>
          <w:highlight w:val="white"/>
        </w:rPr>
        <w:t xml:space="preserve">(</w:t>
      </w:r>
      <w:r>
        <w:rPr>
          <w:highlight w:val="white"/>
        </w:rPr>
        <w:t xml:space="preserve">Уi</w:t>
      </w:r>
      <w:r>
        <w:rPr>
          <w:highlight w:val="white"/>
        </w:rPr>
        <w:t xml:space="preserve"> * </w:t>
      </w:r>
      <w:r>
        <w:rPr>
          <w:highlight w:val="white"/>
        </w:rPr>
        <w:t xml:space="preserve">Р</w:t>
      </w:r>
      <w:r>
        <w:rPr>
          <w:highlight w:val="white"/>
        </w:rPr>
        <w:t xml:space="preserve">i</w:t>
      </w:r>
      <w:r>
        <w:rPr>
          <w:highlight w:val="white"/>
        </w:rPr>
        <w:t xml:space="preserve">)+</w:t>
      </w:r>
      <w:r>
        <w:rPr>
          <w:highlight w:val="white"/>
        </w:rPr>
        <w:t xml:space="preserve">/- F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rPr>
          <w:highlight w:val="white"/>
        </w:rPr>
      </w:pPr>
      <w:r>
        <w:rPr>
          <w:highlight w:val="white"/>
        </w:rPr>
        <w:t xml:space="preserve">г</w:t>
      </w:r>
      <w:r>
        <w:rPr>
          <w:highlight w:val="white"/>
        </w:rPr>
        <w:t xml:space="preserve">де: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Д- прогнозируемый объем поступлений доходов в виде гос</w:t>
      </w:r>
      <w:r>
        <w:rPr>
          <w:highlight w:val="white"/>
        </w:rPr>
        <w:t xml:space="preserve">ударственной пошлины;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У</w:t>
      </w:r>
      <w:r>
        <w:rPr>
          <w:sz w:val="18"/>
          <w:szCs w:val="18"/>
          <w:highlight w:val="white"/>
          <w:lang w:val="en-US"/>
        </w:rPr>
        <w:t xml:space="preserve">i</w:t>
      </w:r>
      <w:r>
        <w:rPr>
          <w:sz w:val="18"/>
          <w:szCs w:val="18"/>
          <w:highlight w:val="white"/>
        </w:rPr>
        <w:t xml:space="preserve"> </w:t>
      </w:r>
      <w:r>
        <w:rPr>
          <w:highlight w:val="white"/>
        </w:rPr>
        <w:t xml:space="preserve">- </w:t>
      </w:r>
      <w:r>
        <w:rPr>
          <w:highlight w:val="white"/>
        </w:rPr>
        <w:t xml:space="preserve">прогнозируемое количество оказываемых государственных услуг i-того вида</w:t>
      </w:r>
      <w:r>
        <w:rPr>
          <w:highlight w:val="white"/>
        </w:rPr>
        <w:t xml:space="preserve">, 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P</w:t>
      </w:r>
      <w:r>
        <w:rPr>
          <w:sz w:val="18"/>
          <w:szCs w:val="18"/>
          <w:highlight w:val="white"/>
        </w:rPr>
        <w:t xml:space="preserve">i</w:t>
      </w:r>
      <w:r>
        <w:rPr>
          <w:sz w:val="18"/>
          <w:szCs w:val="18"/>
          <w:highlight w:val="white"/>
        </w:rPr>
        <w:t xml:space="preserve"> – </w:t>
      </w:r>
      <w:r>
        <w:rPr>
          <w:highlight w:val="white"/>
        </w:rPr>
        <w:t xml:space="preserve">размер государственной пошлины за конкретный вид юридически значимых действий, установленный пунктом 1 статьи 333.33 НК РФ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+/- F - корректирующая сумма поступлений (увеличение или уменьшение прогноза поступления доходов), </w:t>
      </w:r>
      <w:r>
        <w:rPr>
          <w:highlight w:val="white"/>
        </w:rPr>
        <w:t xml:space="preserve">учитывающая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</w:t>
      </w:r>
      <w:r>
        <w:rPr>
          <w:highlight w:val="white"/>
        </w:rPr>
        <w:t xml:space="preserve">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firstLine="709"/>
        <w:jc w:val="both"/>
        <w:rPr>
          <w:highlight w:val="white"/>
        </w:rPr>
      </w:pPr>
      <w:r>
        <w:rPr>
          <w:highlight w:val="white"/>
        </w:rPr>
        <w:t xml:space="preserve">В соответствии со ст. 333.33 НК РФ государственная пошлина уплачивается в следующих размерах: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Государственная пошлина за выдачу документа о прохождении технического осмотра тракторов, самоходных дорожно-строительных и </w:t>
      </w:r>
      <w:r>
        <w:rPr>
          <w:highlight w:val="white"/>
        </w:rPr>
        <w:t xml:space="preserve">иных самоходных машин,</w:t>
      </w:r>
      <w:r>
        <w:rPr>
          <w:highlight w:val="white"/>
        </w:rPr>
        <w:t xml:space="preserve"> и прицепов к ним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41.2 п. 1 ст. статьи 333.33 НК РФ)</w:t>
      </w:r>
      <w:r>
        <w:rPr>
          <w:highlight w:val="white"/>
        </w:rPr>
        <w:t xml:space="preserve"> -</w:t>
      </w:r>
      <w:r>
        <w:rPr>
          <w:highlight w:val="white"/>
        </w:rPr>
        <w:t xml:space="preserve"> 400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Государственная п</w:t>
      </w:r>
      <w:r>
        <w:rPr>
          <w:highlight w:val="white"/>
        </w:rPr>
        <w:t xml:space="preserve">ошлина за выдачу удостоверения тракториста-машиниста (тракториста), временного удостоверения на право управления самоходными машинами, в том числе взамен утраченного или пришедшего в негодность,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43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Государственная регистрация тракторов, самоходных дорожно-строительных и иных машин и прицепов к ним, а также выдача на них государственных регистрационных знаков (кроме машин, подконтрольных другим органам)</w:t>
      </w:r>
      <w:r>
        <w:rPr>
          <w:highlight w:val="white"/>
        </w:rPr>
        <w:t xml:space="preserve">: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</w:t>
      </w:r>
      <w:r>
        <w:rPr>
          <w:highlight w:val="white"/>
        </w:rPr>
        <w:t xml:space="preserve"> с</w:t>
      </w:r>
      <w:r>
        <w:rPr>
          <w:highlight w:val="white"/>
        </w:rPr>
        <w:t xml:space="preserve"> </w:t>
      </w:r>
      <w:r>
        <w:rPr>
          <w:highlight w:val="white"/>
        </w:rPr>
        <w:t xml:space="preserve">выдачей государственных регистрационных знаков на </w:t>
      </w:r>
      <w:r>
        <w:rPr>
          <w:highlight w:val="white"/>
        </w:rPr>
        <w:t xml:space="preserve">мототранспортные</w:t>
      </w:r>
      <w:r>
        <w:rPr>
          <w:highlight w:val="white"/>
        </w:rPr>
        <w:t xml:space="preserve"> средства, прицепы, тракторы, самоходные дорожно-строительные и иные самоходные машины, в том числе взамен утраченных или пришедших в негодность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- 1 500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за внесение изменений в выданные ранее паспорт транспортного средства, паспорт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38 п. 1 ст. статьи 333.33 НК РФ)</w:t>
      </w:r>
      <w:r>
        <w:rPr>
          <w:highlight w:val="white"/>
        </w:rPr>
        <w:t xml:space="preserve"> - 350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государственных регистрационных знаков на </w:t>
      </w:r>
      <w:r>
        <w:rPr>
          <w:highlight w:val="white"/>
        </w:rPr>
        <w:t xml:space="preserve">мототранспортные</w:t>
      </w:r>
      <w:r>
        <w:rPr>
          <w:highlight w:val="white"/>
        </w:rPr>
        <w:t xml:space="preserve"> средства, прицепы, тракторы, самоходные дорожно-строительные и иные самоходные машины, в том числе взамен утраченных или пришедших в негодность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- 1 500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оформлением электронного паспорта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- 2 000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Внесение изменений в регистрационные данные техники</w:t>
      </w:r>
      <w:r>
        <w:rPr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</w:t>
      </w:r>
      <w:r>
        <w:rPr>
          <w:bCs/>
          <w:color w:val="212529"/>
          <w:highlight w:val="white"/>
        </w:rPr>
        <w:t xml:space="preserve">500 рублей</w:t>
      </w:r>
      <w:r>
        <w:rPr>
          <w:bCs/>
          <w:color w:val="212529"/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за внесение изменений в выданные ранее паспорт транспортного средства, паспорт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38 п. 1 ст. статьи 333.33 НК РФ)</w:t>
      </w:r>
      <w:r>
        <w:rPr>
          <w:highlight w:val="white"/>
        </w:rPr>
        <w:t xml:space="preserve"> - 350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</w:t>
      </w:r>
      <w:r>
        <w:rPr>
          <w:highlight w:val="white"/>
        </w:rPr>
        <w:t xml:space="preserve">, </w:t>
      </w:r>
      <w:r>
        <w:rPr>
          <w:highlight w:val="white"/>
        </w:rPr>
        <w:t xml:space="preserve">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оформлением электронного паспорта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</w:t>
      </w:r>
      <w:r>
        <w:rPr>
          <w:highlight w:val="white"/>
        </w:rPr>
        <w:t xml:space="preserve">)</w:t>
      </w:r>
      <w:r>
        <w:rPr>
          <w:highlight w:val="white"/>
        </w:rPr>
        <w:t xml:space="preserve">, </w:t>
      </w:r>
      <w:r>
        <w:rPr>
          <w:highlight w:val="white"/>
        </w:rPr>
        <w:t xml:space="preserve">выдачей</w:t>
      </w:r>
      <w:r>
        <w:rPr>
          <w:highlight w:val="white"/>
        </w:rPr>
        <w:t xml:space="preserve">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рублей, </w:t>
      </w:r>
      <w:r>
        <w:rPr>
          <w:highlight w:val="white"/>
        </w:rPr>
        <w:t xml:space="preserve">с внесением изменений в электронный паспорт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- 2 000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Снятие техники с регистрационного учета</w:t>
      </w:r>
      <w:r>
        <w:rPr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за внесение изменений в выданные ранее паспорт транспортного средства, паспорт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38 п. 1 ст. статьи 333.33 НК РФ</w:t>
      </w:r>
      <w:r>
        <w:rPr>
          <w:highlight w:val="white"/>
        </w:rPr>
        <w:t xml:space="preserve"> - 350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 с</w:t>
      </w:r>
      <w:r>
        <w:rPr>
          <w:highlight w:val="white"/>
        </w:rPr>
        <w:t xml:space="preserve"> </w:t>
      </w:r>
      <w:r>
        <w:rPr>
          <w:highlight w:val="white"/>
        </w:rPr>
        <w:t xml:space="preserve">внесением изменений в электронный паспорт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- 2 000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за выдачу государственных регистрационных знаков транспортных средств «Транзит», в том числе взамен утраченных или пришедших в негодность</w:t>
      </w:r>
      <w:r>
        <w:rPr>
          <w:highlight w:val="white"/>
        </w:rPr>
        <w:t xml:space="preserve">, </w:t>
      </w:r>
      <w:r>
        <w:rPr>
          <w:highlight w:val="white"/>
        </w:rPr>
        <w:t xml:space="preserve">изготавливаемых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39 п. 1 ст. статьи 333.33 НК РФ)</w:t>
      </w:r>
      <w:r>
        <w:rPr>
          <w:highlight w:val="white"/>
        </w:rPr>
        <w:t xml:space="preserve"> - 200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Регистрация техники на ограниченный срок</w:t>
      </w:r>
      <w:r>
        <w:rPr>
          <w:highlight w:val="white"/>
        </w:rPr>
        <w:t xml:space="preserve">: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государственных регистрационных знаков на </w:t>
      </w:r>
      <w:r>
        <w:rPr>
          <w:highlight w:val="white"/>
        </w:rPr>
        <w:t xml:space="preserve">мототранспортные</w:t>
      </w:r>
      <w:r>
        <w:rPr>
          <w:highlight w:val="white"/>
        </w:rPr>
        <w:t xml:space="preserve"> средства, прицепы, тракторы, самоходные дорожно-строительные и иные самоходные машины, в том числе взамен утраченных или пришедших в негодность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- 1 500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государственных регистрационных знаков на </w:t>
      </w:r>
      <w:r>
        <w:rPr>
          <w:highlight w:val="white"/>
        </w:rPr>
        <w:t xml:space="preserve">мототранспортные</w:t>
      </w:r>
      <w:r>
        <w:rPr>
          <w:highlight w:val="white"/>
        </w:rPr>
        <w:t xml:space="preserve"> средства, прицепы, тракторы, самоходные дорожно-строительные и иные самоходные машины, в том числе взамен утраченных или пришедших в негодность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- 1 500 рублей; </w:t>
      </w:r>
      <w:r>
        <w:rPr>
          <w:highlight w:val="white"/>
        </w:rPr>
      </w:r>
      <w:r>
        <w:rPr>
          <w:highlight w:val="white"/>
        </w:rPr>
      </w:r>
    </w:p>
    <w:p>
      <w:pPr>
        <w:ind w:left="1417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выдачей свидетельства о регистрации транспортного средства, в том числе взамен утраченного или пришедшего в негодность: изготавливаемого из расходных материалов на бумажной основе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firstLine="708"/>
        <w:jc w:val="both"/>
        <w:rPr>
          <w:highlight w:val="white"/>
        </w:rPr>
      </w:pPr>
      <w:r>
        <w:rPr>
          <w:highlight w:val="white"/>
        </w:rPr>
        <w:t xml:space="preserve">- </w:t>
      </w:r>
      <w:r>
        <w:rPr>
          <w:highlight w:val="white"/>
        </w:rPr>
        <w:t xml:space="preserve">с оформлением электронного паспорта самоходной машины и других видов техники (</w:t>
      </w:r>
      <w:r>
        <w:rPr>
          <w:highlight w:val="white"/>
        </w:rPr>
        <w:t xml:space="preserve">п.п</w:t>
      </w:r>
      <w:r>
        <w:rPr>
          <w:highlight w:val="white"/>
        </w:rPr>
        <w:t xml:space="preserve">. 36 п. 1 ст. статьи 333.33 НК РФ)</w:t>
      </w:r>
      <w:r>
        <w:rPr>
          <w:highlight w:val="white"/>
        </w:rPr>
        <w:t xml:space="preserve"> - 2 000 рублей.</w:t>
      </w:r>
      <w:r>
        <w:rPr>
          <w:highlight w:val="white"/>
        </w:rPr>
      </w:r>
      <w:r>
        <w:rPr>
          <w:highlight w:val="white"/>
        </w:rPr>
      </w:r>
    </w:p>
    <w:p>
      <w:pPr>
        <w:ind w:left="680"/>
        <w:jc w:val="both"/>
        <w:rPr>
          <w:highlight w:val="white"/>
        </w:rPr>
      </w:pPr>
      <w:r>
        <w:rPr>
          <w:highlight w:val="white"/>
        </w:rPr>
        <w:t xml:space="preserve">           Исходя из анализа динамики фактически предоставленных услуг за 3</w:t>
      </w:r>
      <w:r>
        <w:rPr>
          <w:highlight w:val="white"/>
        </w:rPr>
        <w:t xml:space="preserve"> года, оценки на текущий год в 2025 году и плановом периоде 2026 и 2027 годах планируется выдать удостоверений, документов о прохождении ТО, зарегистрировать самоходной техники и внести изменения в ранее выданные ПТС в количестве, указанном в таблицах 1-3:</w:t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Таблица 1 </w:t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2026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9923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560"/>
        <w:gridCol w:w="3372"/>
        <w:gridCol w:w="3991"/>
      </w:tblGrid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25 000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2 350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4 700 000,00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600 000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2750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11 000 000,00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279"/>
        </w:trPr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1 050 000,00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ru-RU"/>
              </w:rPr>
              <w:t xml:space="preserve">33 000 000,00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jc w:val="right"/>
        <w:rPr>
          <w:highlight w:val="white"/>
        </w:rPr>
      </w:pPr>
      <w:r>
        <w:rPr>
          <w:highlight w:val="white"/>
        </w:rPr>
        <w:t xml:space="preserve">       </w:t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Таблица 2 </w:t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2027 год, руб.       </w:t>
      </w:r>
      <w:r>
        <w:rPr>
          <w:highlight w:val="white"/>
        </w:rPr>
      </w:r>
      <w:r>
        <w:rPr>
          <w:highlight w:val="white"/>
        </w:rPr>
      </w:r>
    </w:p>
    <w:tbl>
      <w:tblPr>
        <w:tblW w:w="9923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977"/>
        <w:gridCol w:w="2955"/>
        <w:gridCol w:w="3991"/>
      </w:tblGrid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25 000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2 350,00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4 700 000,00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600 000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2750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11 000 000,00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1 050 000,00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977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2955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ru-RU"/>
              </w:rPr>
              <w:t xml:space="preserve">33 000 000,00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tabs>
          <w:tab w:val="left" w:pos="567" w:leader="none"/>
          <w:tab w:val="left" w:pos="2400" w:leader="none"/>
        </w:tabs>
        <w:spacing w:line="276" w:lineRule="auto"/>
        <w:ind w:firstLine="709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Таблица 3 </w:t>
      </w:r>
      <w:r>
        <w:rPr>
          <w:highlight w:val="white"/>
        </w:rPr>
      </w:r>
      <w:r>
        <w:rPr>
          <w:highlight w:val="white"/>
        </w:rPr>
      </w:r>
    </w:p>
    <w:p>
      <w:pPr>
        <w:jc w:val="right"/>
        <w:rPr>
          <w:highlight w:val="white"/>
        </w:rPr>
      </w:pPr>
      <w:r>
        <w:rPr>
          <w:highlight w:val="white"/>
        </w:rPr>
        <w:t xml:space="preserve">2028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9923" w:type="dxa"/>
        <w:tblInd w:w="70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2560"/>
        <w:gridCol w:w="3372"/>
        <w:gridCol w:w="3991"/>
      </w:tblGrid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25 000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2 350,00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4 700 000,00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600 000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2750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11 000 000,00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3000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350,00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1 050 000,00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400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75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200,00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15 000,00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560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991" w:type="dxa"/>
            <w:noWrap w:val="false"/>
            <w:textDirection w:val="lrTb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highlight w:val="white"/>
                <w:lang w:val="ru-RU"/>
              </w:rPr>
              <w:t xml:space="preserve">33 000 000,00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tabs>
          <w:tab w:val="left" w:pos="567" w:leader="none"/>
          <w:tab w:val="left" w:pos="2400" w:leader="none"/>
        </w:tabs>
        <w:spacing w:line="276" w:lineRule="auto"/>
        <w:ind w:left="1418" w:right="-144" w:firstLine="709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b/>
          <w:highlight w:val="white"/>
        </w:rPr>
        <w:t xml:space="preserve">2</w:t>
      </w:r>
      <w:r>
        <w:rPr>
          <w:highlight w:val="white"/>
        </w:rPr>
        <w:t xml:space="preserve">. </w:t>
      </w:r>
      <w:r>
        <w:rPr>
          <w:highlight w:val="white"/>
        </w:rPr>
        <w:t xml:space="preserve">Расчет прогнозного объема поступлений</w:t>
      </w:r>
      <w:r>
        <w:rPr>
          <w:highlight w:val="white"/>
        </w:rPr>
        <w:t xml:space="preserve">,</w:t>
      </w:r>
      <w:r>
        <w:rPr>
          <w:highlight w:val="white"/>
        </w:rPr>
        <w:t xml:space="preserve"> по коду дохода 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b/>
          <w:highlight w:val="white"/>
        </w:rPr>
        <w:t xml:space="preserve">006 </w:t>
      </w:r>
      <w:r>
        <w:rPr>
          <w:b/>
          <w:highlight w:val="white"/>
        </w:rPr>
        <w:t xml:space="preserve">1 08 07400 </w:t>
      </w:r>
      <w:r>
        <w:rPr>
          <w:b/>
          <w:highlight w:val="white"/>
        </w:rPr>
        <w:t xml:space="preserve">01</w:t>
      </w:r>
      <w:r>
        <w:rPr>
          <w:b/>
          <w:highlight w:val="white"/>
        </w:rPr>
        <w:t xml:space="preserve"> </w:t>
      </w:r>
      <w:r>
        <w:rPr>
          <w:b/>
          <w:highlight w:val="white"/>
        </w:rPr>
        <w:t xml:space="preserve">1000 </w:t>
      </w:r>
      <w:r>
        <w:rPr>
          <w:b/>
          <w:highlight w:val="white"/>
        </w:rPr>
        <w:t xml:space="preserve">110</w:t>
      </w:r>
      <w:r>
        <w:rPr>
          <w:highlight w:val="white"/>
        </w:rPr>
        <w:t xml:space="preserve"> </w:t>
      </w:r>
      <w:r>
        <w:rPr>
          <w:b/>
          <w:highlight w:val="white"/>
        </w:rPr>
        <w:t xml:space="preserve">«Г</w:t>
      </w:r>
      <w:r>
        <w:rPr>
          <w:b/>
          <w:highlight w:val="white"/>
        </w:rPr>
        <w:t xml:space="preserve">осударственная пошлина за действия уполномоченных органов субъектов РФ, связанные с лицензированием предпринимательской деятельности по управлению многоквартирными домами</w:t>
      </w:r>
      <w:r>
        <w:rPr>
          <w:b/>
          <w:highlight w:val="white"/>
        </w:rPr>
        <w:t xml:space="preserve">»</w:t>
      </w:r>
      <w:r>
        <w:rPr>
          <w:highlight w:val="white"/>
        </w:rPr>
        <w:t xml:space="preserve">, осуществляется исходя из: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- прогнозируемого к оказанию в очередном финансовом году и плановом периоде количества государственных услуг, при предоставлении которых взимается государственная пошлина;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- размера соответствующей государственной пошлины (с учетом планируемых изменений законодательства в части изменения размера платежей).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Применяется метод прямого расчета прогнозируемого объема поступлений доходов по каждому виду государственной пошлины: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center"/>
        <w:rPr>
          <w:strike/>
          <w:sz w:val="32"/>
          <w:highlight w:val="white"/>
        </w:rPr>
      </w:pPr>
      <w:r>
        <w:rPr>
          <w:highlight w:val="white"/>
        </w:rPr>
        <w:t xml:space="preserve">Д=</w:t>
      </w:r>
      <w:r>
        <w:rPr>
          <w:highlight w:val="white"/>
        </w:rPr>
        <w:t xml:space="preserve">∑</w:t>
      </w:r>
      <w:r>
        <w:rPr>
          <w:highlight w:val="white"/>
        </w:rPr>
        <w:t xml:space="preserve">(</w:t>
      </w:r>
      <w:r>
        <w:rPr>
          <w:highlight w:val="white"/>
        </w:rPr>
        <w:t xml:space="preserve">У</w:t>
      </w:r>
      <w:r>
        <w:rPr>
          <w:highlight w:val="white"/>
          <w:vertAlign w:val="subscript"/>
          <w:lang w:val="en-US"/>
        </w:rPr>
        <w:t xml:space="preserve">i</w:t>
      </w:r>
      <w:r>
        <w:rPr>
          <w:highlight w:val="white"/>
          <w:vertAlign w:val="subscript"/>
        </w:rPr>
        <w:t xml:space="preserve"> *  </w:t>
      </w:r>
      <w:r>
        <w:rPr>
          <w:highlight w:val="white"/>
        </w:rPr>
        <w:t xml:space="preserve">Р</w:t>
      </w:r>
      <w:r>
        <w:rPr>
          <w:highlight w:val="white"/>
          <w:vertAlign w:val="subscript"/>
          <w:lang w:val="en-US"/>
        </w:rPr>
        <w:t xml:space="preserve">i</w:t>
      </w:r>
      <w:r>
        <w:rPr>
          <w:highlight w:val="white"/>
        </w:rPr>
        <w:t xml:space="preserve">)+/-</w:t>
      </w:r>
      <w:r>
        <w:rPr>
          <w:highlight w:val="white"/>
          <w:lang w:val="en-US"/>
        </w:rPr>
        <w:t xml:space="preserve">F</w:t>
      </w:r>
      <w:r>
        <w:rPr>
          <w:strike/>
          <w:sz w:val="32"/>
          <w:highlight w:val="white"/>
        </w:rPr>
      </w:r>
      <w:r>
        <w:rPr>
          <w:strike/>
          <w:sz w:val="32"/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где: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Д – прогнозируемый объем поступлений доходов в виде государственной пошлины,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У</w:t>
      </w:r>
      <w:r>
        <w:rPr>
          <w:highlight w:val="white"/>
          <w:vertAlign w:val="subscript"/>
          <w:lang w:val="en-US"/>
        </w:rPr>
        <w:t xml:space="preserve">i</w:t>
      </w:r>
      <w:r>
        <w:rPr>
          <w:highlight w:val="white"/>
          <w:vertAlign w:val="subscript"/>
        </w:rPr>
        <w:t xml:space="preserve"> </w:t>
      </w:r>
      <w:r>
        <w:rPr>
          <w:highlight w:val="white"/>
        </w:rPr>
        <w:t xml:space="preserve">– прогнозируемое количество оказываемых государственных услуг </w:t>
      </w:r>
      <w:r>
        <w:rPr>
          <w:highlight w:val="white"/>
          <w:lang w:val="en-US"/>
        </w:rPr>
        <w:t xml:space="preserve">i</w:t>
      </w:r>
      <w:r>
        <w:rPr>
          <w:highlight w:val="white"/>
        </w:rPr>
        <w:t xml:space="preserve">-того вида,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Р</w:t>
      </w:r>
      <w:r>
        <w:rPr>
          <w:highlight w:val="white"/>
          <w:vertAlign w:val="subscript"/>
          <w:lang w:val="en-US"/>
        </w:rPr>
        <w:t xml:space="preserve">i</w:t>
      </w:r>
      <w:r>
        <w:rPr>
          <w:highlight w:val="white"/>
        </w:rPr>
        <w:t xml:space="preserve"> – размер государственной пошлины за конкретный вид юридически значимых действий, установленный пунктом 1 статьи 333.33 НК РФ.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+/- </w:t>
      </w:r>
      <w:r>
        <w:rPr>
          <w:highlight w:val="white"/>
          <w:lang w:val="en-US"/>
        </w:rPr>
        <w:t xml:space="preserve">F</w:t>
      </w:r>
      <w:r>
        <w:rPr>
          <w:highlight w:val="white"/>
        </w:rPr>
        <w:t xml:space="preserve"> – </w:t>
      </w:r>
      <w:r>
        <w:rPr>
          <w:highlight w:val="white"/>
        </w:rPr>
        <w:t xml:space="preserve">корректирующая сумма поступлений.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В соответствие со </w:t>
      </w:r>
      <w:r>
        <w:rPr>
          <w:highlight w:val="white"/>
        </w:rPr>
        <w:t xml:space="preserve">ст. 333.33</w:t>
      </w:r>
      <w:r>
        <w:rPr>
          <w:highlight w:val="white"/>
        </w:rPr>
        <w:t xml:space="preserve"> </w:t>
      </w:r>
      <w:r>
        <w:rPr>
          <w:highlight w:val="white"/>
        </w:rPr>
        <w:t xml:space="preserve">НК РФ г</w:t>
      </w:r>
      <w:r>
        <w:rPr>
          <w:bCs/>
          <w:highlight w:val="white"/>
        </w:rPr>
        <w:t xml:space="preserve">осударственная пошлина уплачивается в следующих размерах: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680" w:right="-144" w:firstLine="567"/>
        <w:jc w:val="both"/>
        <w:rPr>
          <w:highlight w:val="white"/>
        </w:rPr>
      </w:pPr>
      <w:r>
        <w:rPr>
          <w:highlight w:val="white"/>
        </w:rPr>
        <w:t xml:space="preserve">предоставление лицензии на осуществление предпринимательской деятельности по управлению многоквартирными домами - 30 000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540"/>
        <w:jc w:val="both"/>
        <w:rPr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внесение изменений в реестр лицензий на осуществление предпринимательской деятельнос</w:t>
      </w:r>
      <w:r>
        <w:rPr>
          <w:rFonts w:eastAsiaTheme="minorHAnsi"/>
          <w:highlight w:val="white"/>
          <w:lang w:eastAsia="en-US"/>
        </w:rPr>
        <w:t xml:space="preserve">ти по управлению многоквартирными домами на основании заявления о внесении изменений в реестр лицензий, за исключением случаев, связанных с изменением перечня многоквартирных домов, деятельность по управлению которыми осуществляет лицензиат, - 5 000 рублей</w:t>
      </w:r>
      <w:r>
        <w:rPr>
          <w:highlight w:val="white"/>
        </w:rPr>
        <w:t xml:space="preserve">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540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На основании постановления Правительства Российской Федерации от 29.12.2023 № 2269 «О внесении изменений в постановление Правительства Российской Федерации от 12.03 2022 № 353 в отношении лицензируемых видов деятельности, предусмотренных час</w:t>
      </w:r>
      <w:r>
        <w:rPr>
          <w:rFonts w:eastAsiaTheme="minorHAnsi"/>
          <w:highlight w:val="white"/>
          <w:lang w:eastAsia="en-US"/>
        </w:rPr>
        <w:t xml:space="preserve">тью 1 статьи 12 Федерального закона «О лицензировании отдельных видов деятельности» (за исключением лицензируемых видов деятельности, предусмотренных пунктами 14, 15, 36 и 42 части 1 статьи 12 Федерального закона «О лицензировании отдельных видов деятельно</w:t>
      </w:r>
      <w:r>
        <w:rPr>
          <w:rFonts w:eastAsiaTheme="minorHAnsi"/>
          <w:highlight w:val="white"/>
          <w:lang w:eastAsia="en-US"/>
        </w:rPr>
        <w:t xml:space="preserve">сти»), оплата государственных пошлин в рамках оказания государственных услуг за предоставление лицензии, внесение изменений в реестр лицензий, продление срока действия лицензии по заявлениям, поданным с 1 января 2024 г. по 31 декабря 2029 г., не требуется.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680" w:firstLine="567"/>
        <w:jc w:val="both"/>
        <w:rPr>
          <w:highlight w:val="white"/>
        </w:rPr>
      </w:pPr>
      <w:r>
        <w:rPr>
          <w:highlight w:val="white"/>
        </w:rPr>
        <w:t xml:space="preserve">Исходя из анализа</w:t>
      </w:r>
      <w:r>
        <w:rPr>
          <w:highlight w:val="white"/>
        </w:rPr>
        <w:t xml:space="preserve"> </w:t>
      </w:r>
      <w:r>
        <w:rPr>
          <w:highlight w:val="white"/>
        </w:rPr>
        <w:t xml:space="preserve">динамики фактически предоставленных услуг за </w:t>
      </w:r>
      <w:r>
        <w:rPr>
          <w:highlight w:val="white"/>
        </w:rPr>
        <w:t xml:space="preserve">3 года</w:t>
      </w:r>
      <w:r>
        <w:rPr>
          <w:highlight w:val="white"/>
        </w:rPr>
        <w:t xml:space="preserve">, оценки на текущий год в 2025 году и плановом периоде 2026 и 2026 годах </w:t>
      </w:r>
      <w:r>
        <w:rPr>
          <w:highlight w:val="white"/>
        </w:rPr>
        <w:t xml:space="preserve">планируется предоставить лицензий, внести изменений в реестр лицензий в количестве, указанном в таблицах 1-3: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Таблица 1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2025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Style w:val="834"/>
        <w:tblW w:w="0" w:type="auto"/>
        <w:tblInd w:w="704" w:type="dxa"/>
        <w:tblLook w:val="04A0" w:firstRow="1" w:lastRow="0" w:firstColumn="1" w:lastColumn="0" w:noHBand="0" w:noVBand="1"/>
      </w:tblPr>
      <w:tblGrid>
        <w:gridCol w:w="2161"/>
        <w:gridCol w:w="3433"/>
        <w:gridCol w:w="4045"/>
      </w:tblGrid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highlight w:val="white"/>
                <w:vertAlign w:val="subscript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Р</w:t>
            </w:r>
            <w:r>
              <w:rPr>
                <w:highlight w:val="white"/>
                <w:vertAlign w:val="subscript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pStyle w:val="835"/>
              <w:ind w:left="0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pStyle w:val="835"/>
              <w:ind w:left="0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</w:t>
            </w:r>
            <w:r>
              <w:rPr>
                <w:b/>
                <w:highlight w:val="white"/>
              </w:rPr>
              <w:t xml:space="preserve">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Таблица 2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2026</w:t>
      </w:r>
      <w:r>
        <w:rPr>
          <w:highlight w:val="white"/>
        </w:rPr>
        <w:t xml:space="preserve">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Style w:val="834"/>
        <w:tblW w:w="0" w:type="auto"/>
        <w:tblInd w:w="704" w:type="dxa"/>
        <w:tblLook w:val="04A0" w:firstRow="1" w:lastRow="0" w:firstColumn="1" w:lastColumn="0" w:noHBand="0" w:noVBand="1"/>
      </w:tblPr>
      <w:tblGrid>
        <w:gridCol w:w="2161"/>
        <w:gridCol w:w="3433"/>
        <w:gridCol w:w="4045"/>
      </w:tblGrid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Уi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Рi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</w:t>
            </w:r>
            <w:r>
              <w:rPr>
                <w:b/>
                <w:highlight w:val="white"/>
              </w:rPr>
              <w:t xml:space="preserve">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Таблица 3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firstLine="567"/>
        <w:jc w:val="right"/>
        <w:rPr>
          <w:highlight w:val="white"/>
        </w:rPr>
      </w:pPr>
      <w:r>
        <w:rPr>
          <w:highlight w:val="white"/>
        </w:rPr>
        <w:t xml:space="preserve">2027</w:t>
      </w:r>
      <w:r>
        <w:rPr>
          <w:highlight w:val="white"/>
        </w:rPr>
        <w:t xml:space="preserve">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Style w:val="834"/>
        <w:tblW w:w="0" w:type="auto"/>
        <w:tblInd w:w="704" w:type="dxa"/>
        <w:tblLook w:val="04A0" w:firstRow="1" w:lastRow="0" w:firstColumn="1" w:lastColumn="0" w:noHBand="0" w:noVBand="1"/>
      </w:tblPr>
      <w:tblGrid>
        <w:gridCol w:w="2161"/>
        <w:gridCol w:w="3433"/>
        <w:gridCol w:w="4045"/>
      </w:tblGrid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Уi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Рi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29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21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433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4045" w:type="dxa"/>
            <w:noWrap w:val="false"/>
            <w:textDirection w:val="lrTb"/>
          </w:tcPr>
          <w:p>
            <w:pPr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0</w:t>
            </w:r>
            <w:r>
              <w:rPr>
                <w:b/>
                <w:highlight w:val="white"/>
              </w:rPr>
              <w:t xml:space="preserve">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ind w:left="680" w:right="-144"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  <w:r>
        <w:rPr>
          <w:rFonts w:eastAsiaTheme="minorHAnsi"/>
          <w:lang w:eastAsia="en-US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rFonts w:eastAsia="Calibri"/>
          <w:b/>
          <w:bCs/>
          <w:highlight w:val="white"/>
        </w:rPr>
      </w:pPr>
      <w:r>
        <w:rPr>
          <w:b/>
          <w:color w:val="000000"/>
          <w:highlight w:val="white"/>
        </w:rPr>
        <w:t xml:space="preserve">3</w:t>
      </w:r>
      <w:r>
        <w:rPr>
          <w:b/>
          <w:color w:val="000000"/>
          <w:highlight w:val="white"/>
        </w:rPr>
        <w:t xml:space="preserve">.</w:t>
      </w:r>
      <w:r>
        <w:rPr>
          <w:rFonts w:eastAsia="Calibri"/>
          <w:highlight w:val="white"/>
          <w:lang w:eastAsia="en-US"/>
        </w:rPr>
        <w:t xml:space="preserve"> </w:t>
      </w:r>
      <w:r>
        <w:rPr>
          <w:rFonts w:eastAsia="Calibri"/>
          <w:highlight w:val="white"/>
          <w:lang w:eastAsia="en-US"/>
        </w:rPr>
        <w:t xml:space="preserve">Расчет прогнозного объем</w:t>
      </w:r>
      <w:r>
        <w:rPr>
          <w:rFonts w:eastAsia="Calibri"/>
          <w:highlight w:val="white"/>
          <w:lang w:eastAsia="en-US"/>
        </w:rPr>
        <w:t xml:space="preserve">а поступлений, по коду доходов </w:t>
      </w:r>
      <w:r>
        <w:rPr>
          <w:rFonts w:eastAsia="Calibri"/>
          <w:b/>
          <w:bCs/>
          <w:highlight w:val="white"/>
        </w:rPr>
      </w:r>
      <w:r>
        <w:rPr>
          <w:rFonts w:eastAsia="Calibri"/>
          <w:b/>
          <w:bCs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rFonts w:eastAsia="Calibri"/>
          <w:highlight w:val="white"/>
        </w:rPr>
      </w:pPr>
      <w:r>
        <w:rPr>
          <w:rFonts w:eastAsia="Calibri"/>
          <w:b/>
          <w:highlight w:val="white"/>
          <w:lang w:eastAsia="en-US"/>
        </w:rPr>
        <w:t xml:space="preserve">006 1 08 07510 01 0000 110</w:t>
      </w:r>
      <w:r>
        <w:rPr>
          <w:sz w:val="16"/>
          <w:szCs w:val="16"/>
          <w:highlight w:val="white"/>
        </w:rPr>
        <w:t xml:space="preserve"> </w:t>
      </w:r>
      <w:r>
        <w:rPr>
          <w:b/>
          <w:highlight w:val="white"/>
        </w:rPr>
        <w:t xml:space="preserve">«Госуда</w:t>
      </w:r>
      <w:r>
        <w:rPr>
          <w:b/>
          <w:highlight w:val="white"/>
        </w:rPr>
        <w:t xml:space="preserve">рственная пошлина за совершение уполномоченным органом исполнительной власти субъектов Российской Федерации юридически значимых действий, связанных с государственной регистрацией аттракционов, прицепов, зачисляемая в бюджеты субъектов Российской Федерации»</w:t>
      </w:r>
      <w:r>
        <w:rPr>
          <w:highlight w:val="white"/>
        </w:rPr>
        <w:t xml:space="preserve">, осуществляется исходя из: </w:t>
      </w:r>
      <w:r>
        <w:rPr>
          <w:rFonts w:eastAsia="Calibri"/>
          <w:highlight w:val="white"/>
        </w:rPr>
      </w:r>
      <w:r>
        <w:rPr>
          <w:rFonts w:eastAsia="Calibr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- прогнозируемого к оказанию в очередном финансовом году и плановом периоде количества государственных услуг, при предоставлении которых взимается государственная пошлина;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-размера соответствующей государственной пошлины (с учетом планируемых изменений законодательства в части изменения размера платежей).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Применяется метод прямого расчета прогнозируемого объема поступлений </w:t>
      </w:r>
      <w:r>
        <w:rPr>
          <w:highlight w:val="white"/>
        </w:rPr>
        <w:t xml:space="preserve">доходов по</w:t>
      </w:r>
      <w:r>
        <w:rPr>
          <w:highlight w:val="white"/>
        </w:rPr>
        <w:t xml:space="preserve"> каждому виду государственной пошлины: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center"/>
        <w:rPr>
          <w:highlight w:val="white"/>
        </w:rPr>
      </w:pPr>
      <w:r>
        <w:rPr>
          <w:highlight w:val="white"/>
        </w:rPr>
        <w:t xml:space="preserve">Д= (</w:t>
      </w:r>
      <w:r>
        <w:rPr>
          <w:highlight w:val="white"/>
        </w:rPr>
        <w:t xml:space="preserve">Уi</w:t>
      </w:r>
      <w:r>
        <w:rPr>
          <w:highlight w:val="white"/>
        </w:rPr>
        <w:t xml:space="preserve"> * </w:t>
      </w:r>
      <w:r>
        <w:rPr>
          <w:highlight w:val="white"/>
        </w:rPr>
        <w:t xml:space="preserve">Р</w:t>
      </w:r>
      <w:r>
        <w:rPr>
          <w:highlight w:val="white"/>
        </w:rPr>
        <w:t xml:space="preserve">i</w:t>
      </w:r>
      <w:r>
        <w:rPr>
          <w:highlight w:val="white"/>
        </w:rPr>
        <w:t xml:space="preserve">)+</w:t>
      </w:r>
      <w:r>
        <w:rPr>
          <w:highlight w:val="white"/>
        </w:rPr>
        <w:t xml:space="preserve">/- F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где: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Д- прогнозируемый объем поступлений доходов в виде государственной пошлины;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Уi</w:t>
      </w:r>
      <w:r>
        <w:rPr>
          <w:highlight w:val="white"/>
        </w:rPr>
        <w:t xml:space="preserve"> - прогнозируемое количество оказываемых государственных услуг i-того вида, 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Pi</w:t>
      </w:r>
      <w:r>
        <w:rPr>
          <w:highlight w:val="white"/>
        </w:rPr>
        <w:t xml:space="preserve"> – размер государственной пошлины за конкретный вид юридически значимых действий, установленный пунктом 1 статьи 333.33 НК РФ.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+/- F - корректирующая сумма поступлений (увеличение или уменьшение прогноза поступления доходов), у</w:t>
      </w:r>
      <w:r>
        <w:rPr>
          <w:highlight w:val="white"/>
        </w:rPr>
        <w:t xml:space="preserve">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highlight w:val="white"/>
        </w:rPr>
      </w:r>
      <w:r>
        <w:rPr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highlight w:val="white"/>
        </w:rPr>
      </w:pPr>
      <w:r>
        <w:rPr>
          <w:highlight w:val="white"/>
        </w:rPr>
        <w:t xml:space="preserve">В соответствии со ст.333.33 НК РФ государственная пошлина уплачивается в следующих размерах: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за государственную регистрацию </w:t>
      </w:r>
      <w:r>
        <w:rPr>
          <w:highlight w:val="white"/>
        </w:rPr>
        <w:t xml:space="preserve">аттракциона, включая выдачу свидетельства о государственной регистрации аттракциона и государственного регистрационного знака на аттракцион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(RB-</w:t>
      </w:r>
      <w:r>
        <w:rPr>
          <w:highlight w:val="white"/>
        </w:rPr>
        <w:t xml:space="preserve">1</w:t>
      </w:r>
      <w:r>
        <w:rPr>
          <w:highlight w:val="white"/>
        </w:rPr>
        <w:t xml:space="preserve">)</w:t>
      </w:r>
      <w:r>
        <w:rPr>
          <w:highlight w:val="white"/>
        </w:rPr>
        <w:t xml:space="preserve"> </w:t>
      </w:r>
      <w:r>
        <w:rPr>
          <w:highlight w:val="white"/>
        </w:rPr>
        <w:t xml:space="preserve">- </w:t>
      </w:r>
      <w:r>
        <w:rPr>
          <w:highlight w:val="white"/>
        </w:rPr>
        <w:t xml:space="preserve">1</w:t>
      </w:r>
      <w:r>
        <w:rPr>
          <w:highlight w:val="white"/>
        </w:rPr>
        <w:t xml:space="preserve">3 </w:t>
      </w:r>
      <w:r>
        <w:rPr>
          <w:highlight w:val="white"/>
        </w:rPr>
        <w:t xml:space="preserve">0</w:t>
      </w:r>
      <w:r>
        <w:rPr>
          <w:highlight w:val="white"/>
        </w:rPr>
        <w:t xml:space="preserve">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(RB-</w:t>
      </w:r>
      <w:r>
        <w:rPr>
          <w:highlight w:val="white"/>
        </w:rPr>
        <w:t xml:space="preserve">2</w:t>
      </w:r>
      <w:r>
        <w:rPr>
          <w:highlight w:val="white"/>
        </w:rPr>
        <w:t xml:space="preserve">)</w:t>
      </w:r>
      <w:r>
        <w:rPr>
          <w:highlight w:val="white"/>
        </w:rPr>
        <w:t xml:space="preserve"> </w:t>
      </w:r>
      <w:r>
        <w:rPr>
          <w:highlight w:val="white"/>
        </w:rPr>
        <w:t xml:space="preserve">- </w:t>
      </w:r>
      <w:r>
        <w:rPr>
          <w:highlight w:val="white"/>
        </w:rPr>
        <w:t xml:space="preserve">7</w:t>
      </w:r>
      <w:r>
        <w:rPr>
          <w:highlight w:val="white"/>
        </w:rPr>
        <w:t xml:space="preserve"> </w:t>
      </w:r>
      <w:r>
        <w:rPr>
          <w:highlight w:val="white"/>
        </w:rPr>
        <w:t xml:space="preserve">0</w:t>
      </w:r>
      <w:r>
        <w:rPr>
          <w:highlight w:val="white"/>
        </w:rPr>
        <w:t xml:space="preserve">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(RB-3)</w:t>
      </w:r>
      <w:r>
        <w:rPr>
          <w:highlight w:val="white"/>
        </w:rPr>
        <w:t xml:space="preserve"> </w:t>
      </w:r>
      <w:r>
        <w:rPr>
          <w:highlight w:val="white"/>
        </w:rPr>
        <w:t xml:space="preserve">- 3 500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за временную государственную регистрацию по месту пребывания ранее зарегистрированного аттракциона 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 (RB-1) - 2 400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(RB-2) - 1 800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(RB-3) - 1 300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за выдачу дубликата свидетельства о государственной регистрации аттракциона - 600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за выдачу справки о совершенных регистрационных действиях в отношении аттракциона - 600 рублей;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за выдачу государственного регистрационного</w:t>
      </w:r>
      <w:r>
        <w:rPr>
          <w:highlight w:val="white"/>
        </w:rPr>
        <w:t xml:space="preserve"> </w:t>
      </w:r>
      <w:r>
        <w:rPr>
          <w:highlight w:val="white"/>
        </w:rPr>
        <w:t xml:space="preserve">знака на аттракцион взамен утраченного или пришедшего в негодность - 1 500 рублей.</w:t>
      </w:r>
      <w:r>
        <w:rPr>
          <w:highlight w:val="white"/>
        </w:rPr>
      </w:r>
      <w:r>
        <w:rPr>
          <w:highlight w:val="white"/>
        </w:rPr>
      </w:r>
    </w:p>
    <w:p>
      <w:pPr>
        <w:ind w:left="680" w:right="-144" w:firstLine="851"/>
        <w:jc w:val="both"/>
        <w:rPr>
          <w:highlight w:val="white"/>
        </w:rPr>
      </w:pPr>
      <w:r>
        <w:rPr>
          <w:highlight w:val="white"/>
        </w:rPr>
        <w:t xml:space="preserve">Исходя из анализа динамики фактически предоставленных услуг за 3 года, </w:t>
      </w:r>
      <w:r>
        <w:rPr>
          <w:highlight w:val="white"/>
        </w:rPr>
        <w:t xml:space="preserve">оценки 2026 года и планового периода 2027 и 2028</w:t>
      </w:r>
      <w:r>
        <w:rPr>
          <w:highlight w:val="white"/>
        </w:rPr>
        <w:t xml:space="preserve"> годов </w:t>
      </w:r>
      <w:r>
        <w:rPr>
          <w:highlight w:val="white"/>
        </w:rPr>
        <w:t xml:space="preserve">планируется </w:t>
      </w:r>
      <w:r>
        <w:rPr>
          <w:highlight w:val="white"/>
        </w:rPr>
        <w:t xml:space="preserve">зарегистрировать аттракционов</w:t>
      </w:r>
      <w:r>
        <w:rPr>
          <w:highlight w:val="white"/>
        </w:rPr>
        <w:t xml:space="preserve">, предоставить дубликатов </w:t>
      </w:r>
      <w:r>
        <w:rPr>
          <w:highlight w:val="white"/>
        </w:rPr>
        <w:t xml:space="preserve">и справок </w:t>
      </w:r>
      <w:r>
        <w:rPr>
          <w:highlight w:val="white"/>
        </w:rPr>
        <w:t xml:space="preserve">в количестве, указанном в таблицах 1-3:</w:t>
      </w:r>
      <w:r>
        <w:rPr>
          <w:highlight w:val="white"/>
        </w:rPr>
      </w:r>
      <w:r>
        <w:rPr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highlight w:val="white"/>
        </w:rPr>
        <w:t xml:space="preserve">Таблица 1 </w:t>
      </w:r>
      <w:r>
        <w:rPr>
          <w:highlight w:val="white"/>
        </w:rPr>
      </w:r>
      <w:r>
        <w:rPr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b/>
          <w:highlight w:val="white"/>
        </w:rPr>
        <w:t xml:space="preserve">202</w:t>
      </w:r>
      <w:r>
        <w:rPr>
          <w:b/>
          <w:highlight w:val="white"/>
        </w:rPr>
        <w:t xml:space="preserve">6 год</w:t>
      </w:r>
      <w:r>
        <w:rPr>
          <w:highlight w:val="white"/>
        </w:rPr>
        <w:t xml:space="preserve">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9751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60"/>
        <w:gridCol w:w="3119"/>
        <w:gridCol w:w="3372"/>
      </w:tblGrid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sz w:val="18"/>
                <w:szCs w:val="1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</w:t>
            </w:r>
            <w:r>
              <w:rPr>
                <w:sz w:val="18"/>
                <w:szCs w:val="18"/>
                <w:highlight w:val="white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13 000,00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7 00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105 0</w:t>
            </w:r>
            <w:r>
              <w:rPr>
                <w:highlight w:val="white"/>
              </w:rPr>
              <w:t xml:space="preserve">00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3 5</w:t>
            </w:r>
            <w:r>
              <w:rPr>
                <w:highlight w:val="white"/>
              </w:rPr>
              <w:t xml:space="preserve">00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2 400,00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4 800,00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1 800,00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1 300,00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3 900,00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6</w:t>
            </w:r>
            <w:r>
              <w:rPr>
                <w:highlight w:val="white"/>
              </w:rPr>
              <w:t xml:space="preserve">00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60 00</w:t>
            </w: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1 </w:t>
            </w:r>
            <w:r>
              <w:rPr>
                <w:highlight w:val="white"/>
              </w:rPr>
              <w:t xml:space="preserve">500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  <w:t xml:space="preserve">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202 700</w:t>
            </w:r>
            <w:r>
              <w:rPr>
                <w:b/>
                <w:highlight w:val="white"/>
              </w:rPr>
              <w:t xml:space="preserve">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ind w:right="-144"/>
        <w:jc w:val="right"/>
        <w:rPr>
          <w:highlight w:val="white"/>
        </w:rPr>
      </w:pPr>
      <w:r>
        <w:rPr>
          <w:highlight w:val="white"/>
        </w:rPr>
        <w:t xml:space="preserve">       </w:t>
      </w:r>
      <w:r>
        <w:rPr>
          <w:highlight w:val="white"/>
        </w:rPr>
      </w:r>
      <w:r>
        <w:rPr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highlight w:val="white"/>
        </w:rPr>
        <w:t xml:space="preserve">Таблица </w:t>
      </w:r>
      <w:r>
        <w:rPr>
          <w:highlight w:val="white"/>
        </w:rPr>
        <w:t xml:space="preserve">2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b/>
          <w:highlight w:val="white"/>
        </w:rPr>
        <w:t xml:space="preserve">2027 год</w:t>
      </w:r>
      <w:r>
        <w:rPr>
          <w:highlight w:val="white"/>
        </w:rPr>
        <w:t xml:space="preserve">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9751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260"/>
        <w:gridCol w:w="3119"/>
        <w:gridCol w:w="3372"/>
      </w:tblGrid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sz w:val="18"/>
                <w:szCs w:val="1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</w:t>
            </w:r>
            <w:r>
              <w:rPr>
                <w:sz w:val="18"/>
                <w:szCs w:val="18"/>
                <w:highlight w:val="white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13 000,00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7 000,00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>
          <w:trHeight w:val="332"/>
        </w:trPr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2 400,00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4 800,00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1 300,00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3 900,00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260" w:type="dxa"/>
            <w:noWrap w:val="false"/>
            <w:textDirection w:val="lrTb"/>
          </w:tcPr>
          <w:p>
            <w:pPr>
              <w:ind w:right="-144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119" w:type="dxa"/>
            <w:noWrap w:val="false"/>
            <w:textDirection w:val="lrTb"/>
          </w:tcPr>
          <w:p>
            <w:pPr>
              <w:ind w:right="-144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202 700,00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tabs>
          <w:tab w:val="left" w:pos="567" w:leader="none"/>
          <w:tab w:val="left" w:pos="2400" w:leader="none"/>
        </w:tabs>
        <w:spacing w:line="276" w:lineRule="auto"/>
        <w:ind w:right="-144" w:firstLine="709"/>
        <w:jc w:val="both"/>
        <w:rPr>
          <w:b/>
          <w:highlight w:val="white"/>
        </w:rPr>
      </w:pPr>
      <w:r>
        <w:rPr>
          <w:b/>
          <w:highlight w:val="white"/>
        </w:rPr>
        <w:t xml:space="preserve">       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highlight w:val="white"/>
        </w:rPr>
        <w:t xml:space="preserve">Таблица </w:t>
      </w:r>
      <w:r>
        <w:rPr>
          <w:highlight w:val="white"/>
        </w:rPr>
        <w:t xml:space="preserve">3</w:t>
      </w:r>
      <w:r>
        <w:rPr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ind w:right="-144"/>
        <w:jc w:val="right"/>
        <w:rPr>
          <w:highlight w:val="white"/>
        </w:rPr>
      </w:pPr>
      <w:r>
        <w:rPr>
          <w:b/>
          <w:highlight w:val="white"/>
        </w:rPr>
        <w:t xml:space="preserve">202</w:t>
      </w:r>
      <w:r>
        <w:rPr>
          <w:b/>
          <w:highlight w:val="white"/>
        </w:rPr>
        <w:t xml:space="preserve">8 год</w:t>
      </w:r>
      <w:r>
        <w:rPr>
          <w:highlight w:val="white"/>
        </w:rPr>
        <w:t xml:space="preserve">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9751" w:type="dxa"/>
        <w:tblInd w:w="84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3118"/>
        <w:gridCol w:w="3261"/>
        <w:gridCol w:w="3372"/>
      </w:tblGrid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У</w:t>
            </w:r>
            <w:r>
              <w:rPr>
                <w:sz w:val="18"/>
                <w:szCs w:val="1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P</w:t>
            </w:r>
            <w:r>
              <w:rPr>
                <w:sz w:val="18"/>
                <w:szCs w:val="18"/>
                <w:highlight w:val="white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13 000,00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7 000,00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35 000,00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2 400,00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4 800,00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1 800,00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9 000,00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1 300,00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3 900,00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60 000,00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1 500,00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  <w:t xml:space="preserve">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118" w:type="dxa"/>
            <w:noWrap w:val="false"/>
            <w:textDirection w:val="lrTb"/>
          </w:tcPr>
          <w:p>
            <w:pPr>
              <w:ind w:right="-144"/>
              <w:jc w:val="both"/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261" w:type="dxa"/>
            <w:noWrap w:val="false"/>
            <w:textDirection w:val="lrTb"/>
          </w:tcPr>
          <w:p>
            <w:pPr>
              <w:rPr>
                <w:highlight w:val="white"/>
              </w:rPr>
            </w:pPr>
            <w:r>
              <w:rPr>
                <w:highlight w:val="white"/>
              </w:rPr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noWrap w:val="false"/>
            <w:textDirection w:val="lrTb"/>
          </w:tcPr>
          <w:p>
            <w:pPr>
              <w:ind w:right="-144"/>
              <w:jc w:val="both"/>
              <w:rPr>
                <w:b/>
                <w:highlight w:val="white"/>
              </w:rPr>
            </w:pPr>
            <w:r>
              <w:rPr>
                <w:b/>
                <w:highlight w:val="white"/>
              </w:rPr>
              <w:t xml:space="preserve">202 700</w:t>
            </w:r>
            <w:r>
              <w:rPr>
                <w:b/>
                <w:highlight w:val="white"/>
              </w:rPr>
              <w:t xml:space="preserve">,00</w:t>
            </w:r>
            <w:r>
              <w:rPr>
                <w:b/>
                <w:highlight w:val="white"/>
              </w:rPr>
            </w:r>
            <w:r>
              <w:rPr>
                <w:b/>
                <w:highlight w:val="white"/>
              </w:rPr>
            </w:r>
          </w:p>
        </w:tc>
      </w:tr>
    </w:tbl>
    <w:p>
      <w:pPr>
        <w:tabs>
          <w:tab w:val="left" w:pos="567" w:leader="none"/>
          <w:tab w:val="left" w:pos="2400" w:leader="none"/>
        </w:tabs>
        <w:spacing w:line="276" w:lineRule="auto"/>
        <w:ind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bCs/>
          <w:color w:val="000000"/>
          <w:highlight w:val="white"/>
        </w:rPr>
        <w:t xml:space="preserve">4.</w:t>
      </w:r>
      <w:r>
        <w:rPr>
          <w:color w:val="000000"/>
          <w:highlight w:val="white"/>
        </w:rPr>
        <w:t xml:space="preserve"> Расчет прогнозного показателя по коду доходов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b/>
          <w:bCs/>
          <w:color w:val="000000"/>
          <w:highlight w:val="white"/>
        </w:rPr>
        <w:t xml:space="preserve">006 1 08 07160 01 1000 110 «</w:t>
      </w:r>
      <w:r>
        <w:rPr>
          <w:b/>
          <w:bCs/>
          <w:color w:val="000000"/>
          <w:highlight w:val="white"/>
        </w:rPr>
        <w:t xml:space="preserve">Г</w:t>
      </w:r>
      <w:r>
        <w:rPr>
          <w:b/>
          <w:bCs/>
          <w:color w:val="000000"/>
          <w:highlight w:val="white"/>
        </w:rPr>
        <w:t xml:space="preserve">осударственная пошлина за выдачу уполномоченными органами исполнительной власти субъектов Российской Федерации организациям, осуществляющим образовательную деятельность, свидетельств о соответствии требованиям оборудования и оснащенности образовательного п</w:t>
      </w:r>
      <w:r>
        <w:rPr>
          <w:b/>
          <w:bCs/>
          <w:color w:val="000000"/>
          <w:highlight w:val="white"/>
        </w:rPr>
        <w:t xml:space="preserve">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 и машинистов самоходных машин»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осуществляется исходя из: 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 прогнозируемого к оказанию в очередном финансовом году и плановом периоде количества государственных услуг, при предоставлении которых взимается государственная пошлина;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-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размера соответствующей государственной пошлины (с учетом планируемых изменений законодательства в части изменения размера платежей).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Применяется метод прямого расчета прогнозируемого объема поступлений доходов  по каждому виду государственной пошлины: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center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center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Д= (Уi * Рi)+/- F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г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де: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Д- прогнозируемый объем поступлений доходов в виде государственной пошлины;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</w:t>
      </w:r>
      <w:r>
        <w:rPr>
          <w:rFonts w:ascii="Times New Roman" w:hAnsi="Times New Roman" w:cs="Times New Roman"/>
          <w:sz w:val="28"/>
          <w:szCs w:val="28"/>
          <w:highlight w:val="white"/>
          <w:lang w:val="en-US"/>
        </w:rPr>
        <w:t xml:space="preserve">i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- прогнозируемое количество оказываемых государственных услуг i-того вида, 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Pi – размер государственной пошлины за конкретный вид юридически значимых действий, установленный пунктом 1 статьи 333.33 НК РФ.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+/- F - корректирующая сумма поступлений (увеличение или уменьшение прогноза поступления доходов), у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соответствии с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ст.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333.33 НК РФ государственная пошлина уплачивается в следующих размерах: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-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Государственная пошлина за выдачу организациям, осуществляющим образовательную деятельность, свидетельств о соответствии требованиям оборудования и ос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нащенности образовательного процесса для рассмотрения вопроса соответствующими органами об аккредитации и о предоставлении указанным организациям лицензий на право подготовки трактористов и машинистов самоходных машин (п.п. 47 п. 1 ст. статьи 333.33 НК РФ)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 - 1 600 рублей;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Таблица 1 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6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-2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Таблица 2 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7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-2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30"/>
        <w:jc w:val="right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Таблица </w:t>
      </w:r>
      <w:r>
        <w:rPr>
          <w:rFonts w:ascii="Times New Roman" w:hAnsi="Times New Roman" w:cs="Times New Roman"/>
          <w:sz w:val="28"/>
          <w:szCs w:val="28"/>
          <w:highlight w:val="white"/>
          <w:lang w:val="ru-RU"/>
        </w:rPr>
        <w:t xml:space="preserve">3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highlight w:val="white"/>
        </w:rPr>
      </w:r>
      <w:r>
        <w:rPr>
          <w:highlight w:val="white"/>
        </w:rPr>
      </w:r>
    </w:p>
    <w:p>
      <w:pPr>
        <w:pStyle w:val="830"/>
        <w:jc w:val="right"/>
        <w:rPr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8 год, руб.</w:t>
      </w:r>
      <w:r>
        <w:rPr>
          <w:highlight w:val="white"/>
        </w:rPr>
      </w:r>
      <w:r>
        <w:rPr>
          <w:highlight w:val="white"/>
        </w:rPr>
      </w:r>
    </w:p>
    <w:tbl>
      <w:tblPr>
        <w:tblW w:w="0" w:type="auto"/>
        <w:tblInd w:w="-217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3372"/>
        <w:gridCol w:w="3372"/>
        <w:gridCol w:w="3372"/>
      </w:tblGrid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У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en-US"/>
              </w:rPr>
              <w:t xml:space="preserve">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Pi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Д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5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1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 6</w:t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  <w:t xml:space="preserve">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  <w:tr>
        <w:trPr/>
        <w:tblPrEx/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  <w:r>
              <w:rPr>
                <w:rFonts w:ascii="Times New Roman" w:hAnsi="Times New Roman" w:cs="Times New Roman"/>
                <w:sz w:val="28"/>
                <w:szCs w:val="28"/>
                <w:highlight w:val="white"/>
              </w:rPr>
            </w:r>
          </w:p>
        </w:tc>
        <w:tc>
          <w:tcPr>
            <w:tcW w:w="33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false"/>
            <w:textDirection w:val="lrTb"/>
            <w:vAlign w:val="top"/>
          </w:tcPr>
          <w:p>
            <w:pPr>
              <w:pStyle w:val="830"/>
              <w:jc w:val="both"/>
              <w:rPr>
                <w:highlight w:val="whit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highlight w:val="white"/>
                <w:lang w:val="ru-RU"/>
              </w:rPr>
              <w:t xml:space="preserve">8 000,00</w:t>
            </w:r>
            <w:r>
              <w:rPr>
                <w:highlight w:val="white"/>
              </w:rPr>
            </w:r>
            <w:r>
              <w:rPr>
                <w:highlight w:val="white"/>
              </w:rPr>
            </w:r>
          </w:p>
        </w:tc>
      </w:tr>
    </w:tbl>
    <w:p>
      <w:pPr>
        <w:pStyle w:val="830"/>
        <w:tabs>
          <w:tab w:val="left" w:pos="567" w:leader="none"/>
          <w:tab w:val="left" w:pos="2400" w:leader="none"/>
        </w:tabs>
        <w:spacing w:line="276" w:lineRule="auto"/>
        <w:ind w:left="0" w:right="0" w:firstLine="709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</w:r>
      <w:r>
        <w:rPr>
          <w:rFonts w:ascii="Times New Roman" w:hAnsi="Times New Roman" w:cs="Times New Roman"/>
          <w:color w:val="000000"/>
          <w:sz w:val="28"/>
          <w:szCs w:val="28"/>
          <w:highlight w:val="yellow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142" w:right="-144" w:firstLine="567"/>
        <w:jc w:val="both"/>
        <w:rPr>
          <w:color w:val="000000"/>
        </w:rPr>
      </w:pPr>
      <w:r>
        <w:rPr>
          <w:b/>
          <w:bCs/>
          <w:color w:val="000000"/>
          <w:highlight w:val="none"/>
        </w:rPr>
      </w:r>
      <w:r>
        <w:rPr>
          <w:color w:val="000000"/>
        </w:rPr>
      </w:r>
      <w:r>
        <w:rPr>
          <w:color w:val="000000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5.</w:t>
      </w:r>
      <w:r>
        <w:rPr>
          <w:color w:val="000000"/>
          <w:highlight w:val="white"/>
        </w:rPr>
        <w:t xml:space="preserve"> Расчет прогнозного показателя по коду доходов: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006 1 11 05032 02 0000 120</w:t>
      </w:r>
      <w:r>
        <w:rPr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«Доходы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учреждений»</w:t>
      </w:r>
      <w:r>
        <w:rPr>
          <w:color w:val="000000"/>
          <w:highlight w:val="white"/>
        </w:rPr>
        <w:t xml:space="preserve"> (за исключением имущества бюджетных и автономных учреждений субъектов Российской Федерации) осуществляетс</w:t>
      </w:r>
      <w:r>
        <w:rPr>
          <w:color w:val="000000"/>
          <w:highlight w:val="white"/>
        </w:rPr>
        <w:t xml:space="preserve">я методом прямого расчета с учетом данных о размере площади сдаваемых объектов, ставке арендной платы и динамике отдельных показателей прогноза социально-экономического развития (по консервативному варианту) в соответствии с заключенными договорами аренды: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∑(</w:t>
      </w:r>
      <w:r>
        <w:rPr>
          <w:color w:val="000000"/>
          <w:highlight w:val="white"/>
        </w:rPr>
        <w:t xml:space="preserve">Si</w:t>
      </w:r>
      <w:r>
        <w:rPr>
          <w:color w:val="000000"/>
          <w:highlight w:val="white"/>
        </w:rPr>
        <w:t xml:space="preserve">*</w:t>
      </w:r>
      <w:r>
        <w:rPr>
          <w:color w:val="000000"/>
          <w:highlight w:val="white"/>
        </w:rPr>
        <w:t xml:space="preserve">Ai</w:t>
      </w:r>
      <w:r>
        <w:rPr>
          <w:color w:val="000000"/>
          <w:highlight w:val="white"/>
        </w:rPr>
        <w:t xml:space="preserve">)*</w:t>
      </w:r>
      <w:r>
        <w:rPr>
          <w:color w:val="000000"/>
          <w:highlight w:val="white"/>
        </w:rPr>
        <w:t xml:space="preserve">М+/– F 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Si</w:t>
      </w:r>
      <w:r>
        <w:rPr>
          <w:color w:val="000000"/>
          <w:highlight w:val="white"/>
        </w:rPr>
        <w:t xml:space="preserve"> – площадь объектов, сдаваемая в аренду, кв. м.;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Ai</w:t>
      </w:r>
      <w:r>
        <w:rPr>
          <w:color w:val="000000"/>
          <w:highlight w:val="white"/>
        </w:rPr>
        <w:t xml:space="preserve"> – ставка арендной платы за месяц согласно заключенным договорам;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М – количество месяцев, сдаваемых в аренду площадей;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F – корректирующая сумма поступлений (увеличение или уменьшение прогноза поступления доходов), учитывающая фактическое поступление в областной бюджет Новосибирской области доходов за истекшие месяцы текущего </w:t>
      </w:r>
      <w:r>
        <w:rPr>
          <w:color w:val="000000"/>
          <w:highlight w:val="white"/>
        </w:rPr>
        <w:t xml:space="preserve">финансового года, а также ожидаемую к взысканию дебиторскую задолженность по доходам, получаемую на основании данных о планирующемся </w:t>
      </w:r>
      <w:r>
        <w:rPr>
          <w:color w:val="000000"/>
          <w:highlight w:val="white"/>
        </w:rPr>
        <w:t xml:space="preserve">зачислении.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Соответственно: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2026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пр</w:t>
      </w:r>
      <w:r>
        <w:rPr>
          <w:color w:val="000000"/>
          <w:highlight w:val="white"/>
        </w:rPr>
        <w:t xml:space="preserve">огнозные данные составят </w:t>
      </w:r>
      <w:r>
        <w:rPr>
          <w:b/>
          <w:color w:val="000000"/>
          <w:highlight w:val="white"/>
        </w:rPr>
        <w:t xml:space="preserve">12 136,3</w:t>
      </w:r>
      <w:r>
        <w:rPr>
          <w:b/>
          <w:color w:val="000000"/>
          <w:highlight w:val="white"/>
        </w:rPr>
        <w:t xml:space="preserve"> тыс.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12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136,3 = (2 733,4</w:t>
      </w:r>
      <w:r>
        <w:rPr>
          <w:color w:val="000000"/>
          <w:highlight w:val="white"/>
        </w:rPr>
        <w:t xml:space="preserve">*0,</w:t>
      </w:r>
      <w:r>
        <w:rPr>
          <w:color w:val="000000"/>
          <w:highlight w:val="white"/>
        </w:rPr>
        <w:t xml:space="preserve">37) *</w:t>
      </w:r>
      <w:r>
        <w:rPr>
          <w:color w:val="000000"/>
          <w:highlight w:val="white"/>
        </w:rPr>
        <w:t xml:space="preserve">12+/–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2 733,4 м2- площадь объектов, сдаваемая в аренду,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0,37 руб. – ставка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2027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 </w:t>
      </w:r>
      <w:r>
        <w:rPr>
          <w:b/>
          <w:color w:val="000000"/>
          <w:highlight w:val="white"/>
        </w:rPr>
        <w:t xml:space="preserve">12 464,3</w:t>
      </w:r>
      <w:r>
        <w:rPr>
          <w:b/>
          <w:color w:val="000000"/>
          <w:highlight w:val="white"/>
        </w:rPr>
        <w:t xml:space="preserve"> тыс. 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12 464,3</w:t>
      </w:r>
      <w:r>
        <w:rPr>
          <w:color w:val="000000"/>
          <w:highlight w:val="white"/>
        </w:rPr>
        <w:t xml:space="preserve"> = (2 733,4</w:t>
      </w:r>
      <w:r>
        <w:rPr>
          <w:color w:val="000000"/>
          <w:highlight w:val="white"/>
        </w:rPr>
        <w:t xml:space="preserve"> *0,38)*12+/–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2 733,4 м2 - площадь объектов, сдаваемая в аренду,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0,38 руб. – ставка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2028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 </w:t>
      </w:r>
      <w:r>
        <w:rPr>
          <w:b/>
          <w:color w:val="000000"/>
          <w:highlight w:val="white"/>
        </w:rPr>
        <w:t xml:space="preserve">12 792 ,3</w:t>
      </w:r>
      <w:r>
        <w:rPr>
          <w:b/>
          <w:color w:val="000000"/>
          <w:highlight w:val="white"/>
        </w:rPr>
        <w:t xml:space="preserve"> тыс.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12 792 ,3</w:t>
      </w:r>
      <w:r>
        <w:rPr>
          <w:color w:val="000000"/>
          <w:highlight w:val="white"/>
        </w:rPr>
        <w:t xml:space="preserve"> = (</w:t>
      </w:r>
      <w:r>
        <w:rPr>
          <w:color w:val="000000"/>
          <w:highlight w:val="white"/>
        </w:rPr>
        <w:t xml:space="preserve">2 733,4 *0,39) *12+/–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2 733,4 м2 - площадь объектов, сдаваемая в аренду,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0,39 руб. – ставка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bCs/>
          <w:color w:val="000000"/>
          <w:highlight w:val="white"/>
        </w:rPr>
        <w:t xml:space="preserve">6. </w:t>
      </w:r>
      <w:r>
        <w:rPr>
          <w:color w:val="000000"/>
          <w:highlight w:val="white"/>
        </w:rPr>
        <w:t xml:space="preserve">Расчет прогноз</w:t>
      </w:r>
      <w:r>
        <w:rPr>
          <w:color w:val="000000"/>
          <w:highlight w:val="white"/>
        </w:rPr>
        <w:t xml:space="preserve">ного показателя по коду </w:t>
      </w:r>
      <w:r>
        <w:rPr>
          <w:color w:val="000000"/>
          <w:highlight w:val="white"/>
        </w:rPr>
        <w:t xml:space="preserve"> дохода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b/>
          <w:color w:val="000000"/>
          <w:highlight w:val="white"/>
        </w:rPr>
        <w:t xml:space="preserve">006 1 13 01992 02 0000 130</w:t>
      </w:r>
      <w:r>
        <w:rPr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« Прочие доходы от оказания платных услуг (работ) получателями средств бюджетов субъектов Российской Федерации» </w:t>
      </w:r>
      <w:r>
        <w:rPr>
          <w:color w:val="000000"/>
          <w:highlight w:val="white"/>
        </w:rPr>
        <w:t xml:space="preserve">производится методом прямого расчета исходя из динамики поступлений доходов в отчетном финансовом году с учетом объемов ожидаемых платежей в текущем финансовом году за вычетом поступлений, носящих разовый характер, с у</w:t>
      </w:r>
      <w:r>
        <w:rPr>
          <w:color w:val="000000"/>
          <w:highlight w:val="white"/>
        </w:rPr>
        <w:t xml:space="preserve">четом дополнительных (или выпадающих) доходов бюджета в очередном финансовом году, связанных с прогнозируемым изменением объема оказываемых услуг, изменением порядков установления и исчисления данных доходов, установленных НПА и иными причинами по формуле: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(</w:t>
      </w:r>
      <w:r>
        <w:rPr>
          <w:color w:val="000000"/>
          <w:highlight w:val="white"/>
        </w:rPr>
        <w:t xml:space="preserve">ДПож</w:t>
      </w:r>
      <w:r>
        <w:rPr>
          <w:color w:val="000000"/>
          <w:highlight w:val="white"/>
        </w:rPr>
        <w:t xml:space="preserve"> х i) +/– F,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ДПож</w:t>
      </w:r>
      <w:r>
        <w:rPr>
          <w:color w:val="000000"/>
          <w:highlight w:val="white"/>
        </w:rPr>
        <w:t xml:space="preserve"> – ожидаемое поступление в текущем финансовом году за вычетом поступлений, носящих разовый характер;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i – индекс потребительских цен в среднем за соответствующий год планового периода по данным Прогноза социально-экономического развития Новосибирской области (по консервативному варианту);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F – корректирующая сумма поступлений (увеличение или уменьшение прогноза поступления </w:t>
      </w:r>
      <w:r>
        <w:rPr>
          <w:color w:val="000000"/>
          <w:highlight w:val="white"/>
        </w:rPr>
        <w:t xml:space="preserve">доходов), учитывающая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</w:t>
      </w:r>
      <w:r>
        <w:rPr>
          <w:color w:val="000000"/>
          <w:highlight w:val="white"/>
        </w:rPr>
        <w:t xml:space="preserve">зачислении.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Исходя из ожидаемого поступления доходов от оказания платных услуг прогноз поступлений составит: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2026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 </w:t>
      </w:r>
      <w:r>
        <w:rPr>
          <w:b/>
          <w:color w:val="000000"/>
          <w:highlight w:val="white"/>
        </w:rPr>
        <w:t xml:space="preserve">66 349,8 </w:t>
      </w:r>
      <w:r>
        <w:rPr>
          <w:b/>
          <w:color w:val="000000"/>
          <w:highlight w:val="white"/>
        </w:rPr>
        <w:t xml:space="preserve">тыс.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66 349,8 = (</w:t>
      </w:r>
      <w:r>
        <w:rPr>
          <w:color w:val="000000"/>
          <w:highlight w:val="white"/>
        </w:rPr>
        <w:t xml:space="preserve">62 771,8 х 1,0</w:t>
      </w:r>
      <w:r>
        <w:rPr>
          <w:color w:val="000000"/>
          <w:highlight w:val="white"/>
        </w:rPr>
        <w:t xml:space="preserve">57</w:t>
      </w:r>
      <w:r>
        <w:rPr>
          <w:color w:val="000000"/>
          <w:highlight w:val="white"/>
        </w:rPr>
        <w:t xml:space="preserve">) тыс. рублей</w:t>
      </w:r>
      <w:r>
        <w:rPr>
          <w:color w:val="000000"/>
          <w:highlight w:val="white"/>
        </w:rPr>
        <w:t xml:space="preserve">, где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62 771,8 тыс. рублей – ожидаемое поступление в 2025</w:t>
      </w:r>
      <w:r>
        <w:rPr>
          <w:color w:val="000000"/>
          <w:highlight w:val="white"/>
        </w:rPr>
        <w:t xml:space="preserve"> году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1,057</w:t>
      </w:r>
      <w:r>
        <w:rPr>
          <w:color w:val="000000"/>
          <w:highlight w:val="white"/>
        </w:rPr>
        <w:t xml:space="preserve">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2027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 </w:t>
      </w:r>
      <w:r>
        <w:rPr>
          <w:b/>
          <w:color w:val="000000"/>
          <w:highlight w:val="white"/>
        </w:rPr>
        <w:t xml:space="preserve">69 003,8 тыс.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69 003,8 = (66 349,8</w:t>
      </w:r>
      <w:r>
        <w:rPr>
          <w:color w:val="000000"/>
          <w:highlight w:val="white"/>
        </w:rPr>
        <w:t xml:space="preserve"> х 1,04</w:t>
      </w:r>
      <w:r>
        <w:rPr>
          <w:color w:val="000000"/>
          <w:highlight w:val="white"/>
        </w:rPr>
        <w:t xml:space="preserve">) тыс. рублей</w:t>
      </w:r>
      <w:r>
        <w:rPr>
          <w:color w:val="000000"/>
          <w:highlight w:val="white"/>
        </w:rPr>
        <w:t xml:space="preserve">, где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66 349,8 тыс. рублей – прогноз </w:t>
      </w:r>
      <w:r>
        <w:rPr>
          <w:color w:val="000000"/>
          <w:highlight w:val="white"/>
        </w:rPr>
        <w:t xml:space="preserve">на  2026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г</w:t>
      </w:r>
      <w:r>
        <w:rPr>
          <w:color w:val="000000"/>
          <w:highlight w:val="white"/>
        </w:rPr>
        <w:t xml:space="preserve">од</w:t>
      </w:r>
      <w:r>
        <w:rPr>
          <w:color w:val="000000"/>
          <w:highlight w:val="white"/>
        </w:rPr>
        <w:t xml:space="preserve">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1,04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2028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</w:t>
      </w:r>
      <w:r>
        <w:rPr>
          <w:b/>
          <w:bCs/>
          <w:color w:val="000000"/>
          <w:highlight w:val="white"/>
        </w:rPr>
        <w:t xml:space="preserve">71 764,0</w:t>
      </w:r>
      <w:r>
        <w:rPr>
          <w:b/>
          <w:bCs/>
          <w:color w:val="000000"/>
          <w:highlight w:val="white"/>
        </w:rPr>
        <w:t xml:space="preserve"> т</w:t>
      </w:r>
      <w:r>
        <w:rPr>
          <w:b/>
          <w:color w:val="000000"/>
          <w:highlight w:val="white"/>
        </w:rPr>
        <w:t xml:space="preserve">ыс. рублей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71 764,0 = (69 003,8 х 1,04) +/–, где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69 003,8 тыс. рублей – прогноз на 2027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г</w:t>
      </w:r>
      <w:r>
        <w:rPr>
          <w:color w:val="000000"/>
          <w:highlight w:val="white"/>
        </w:rPr>
        <w:t xml:space="preserve">од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1,04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b/>
          <w:bCs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7.</w:t>
      </w:r>
      <w:r>
        <w:rPr>
          <w:color w:val="000000"/>
          <w:highlight w:val="white"/>
        </w:rPr>
        <w:t xml:space="preserve"> Расчет прогноза по коду дохода </w:t>
      </w:r>
      <w:r>
        <w:rPr>
          <w:b/>
          <w:bCs/>
          <w:color w:val="000000"/>
          <w:highlight w:val="white"/>
        </w:rPr>
      </w:r>
      <w:r>
        <w:rPr>
          <w:b/>
          <w:bCs/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006 1 13 02062 02 0000 130</w:t>
      </w:r>
      <w:r>
        <w:rPr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«</w:t>
      </w:r>
      <w:r>
        <w:rPr>
          <w:b/>
          <w:color w:val="000000"/>
          <w:highlight w:val="white"/>
        </w:rPr>
        <w:t xml:space="preserve">Доходы, поступающие в порядке возмещения расходов, понесенных в связи с эксплуатацией имущества субъектов Российской Федерации»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осуществляется на основании данных о текущих и планируемых платежах методом прямого расчета по формуле: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  <w:lang w:val="en-US"/>
        </w:rPr>
        <w:t xml:space="preserve">VO-VO1+ VO2*I +/- F, </w:t>
      </w:r>
      <w:r>
        <w:rPr>
          <w:color w:val="000000"/>
          <w:highlight w:val="white"/>
        </w:rPr>
        <w:t xml:space="preserve">где</w:t>
      </w:r>
      <w:r>
        <w:rPr>
          <w:color w:val="000000"/>
          <w:highlight w:val="white"/>
          <w:lang w:val="en-US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VO – объем годовых начислений по договорам на возмещение расходов по оплате коммунальных услуг в текущем финансовом году;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VO1– объем годовых начислений по договорам на возмещение расходов по оплате коммунальных услуг, которые будут расторгнуты в текущем финансовом году (без заключения нового договора);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VO2 – Объем годовых начислений по договорам на возмещение расходов по оплате коммунальных услуг, планируемым к заключению);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I – индекс потребительских цен в среднем за соответствующий год планового периода по данным Прогноза социально-экономического развития Новосибирской области (по консервативному варианту);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+/- F - корректирующая сумма поступлений (увеличение или уменьшение прогноза поступления доходов), у</w:t>
      </w:r>
      <w:r>
        <w:rPr>
          <w:color w:val="000000"/>
          <w:highlight w:val="white"/>
        </w:rPr>
        <w:t xml:space="preserve">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Поступления составят: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на 2026 год – 7</w:t>
      </w:r>
      <w:r>
        <w:rPr>
          <w:b/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719,5 тыс. рублей</w:t>
      </w:r>
      <w:r>
        <w:rPr>
          <w:b/>
          <w:color w:val="000000"/>
          <w:highlight w:val="white"/>
        </w:rPr>
      </w:r>
      <w:r>
        <w:rPr>
          <w:b/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7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719,5 = (7 303,2</w:t>
      </w:r>
      <w:r>
        <w:rPr>
          <w:color w:val="000000"/>
          <w:highlight w:val="white"/>
        </w:rPr>
        <w:t xml:space="preserve">–0+0) *1,057 +/– 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7 303,2 тыс. рублей – объем годовых начислений на 2025 г.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1,057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на 2027 год – 8</w:t>
      </w:r>
      <w:r>
        <w:rPr>
          <w:b/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028,3 тыс. рублей</w:t>
      </w:r>
      <w:r>
        <w:rPr>
          <w:b/>
          <w:color w:val="000000"/>
          <w:highlight w:val="white"/>
        </w:rPr>
      </w:r>
      <w:r>
        <w:rPr>
          <w:b/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8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028,3 = (7 719,5 –0+0) *1,04 +/– 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7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719,5 тыс. рублей –  объем годовых начислений на 2026 г.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1,04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b/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на 2028 год – 8 349,4 тыс. рублей</w:t>
      </w:r>
      <w:r>
        <w:rPr>
          <w:b/>
          <w:color w:val="000000"/>
          <w:highlight w:val="white"/>
        </w:rPr>
      </w:r>
      <w:r>
        <w:rPr>
          <w:b/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8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349,4 = (8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028,3 –0+0) *1,04 +/–  0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8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028,3 –  объем годовых начислений на 2027 г.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1,04 – индекс потребительских цен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Снижение доходов на 20269 -2028 годы связано со снижением расходов </w:t>
      </w:r>
      <w:r>
        <w:rPr>
          <w:color w:val="000000"/>
          <w:highlight w:val="white"/>
        </w:rPr>
        <w:t xml:space="preserve">на содержание</w:t>
      </w:r>
      <w:r>
        <w:rPr>
          <w:color w:val="000000"/>
          <w:highlight w:val="white"/>
        </w:rPr>
        <w:t xml:space="preserve">, предъявляемых к возмещению, арендаторам.</w:t>
      </w:r>
      <w:r>
        <w:rPr>
          <w:color w:val="000000"/>
          <w:highlight w:val="white"/>
        </w:rPr>
      </w:r>
      <w:r>
        <w:rPr>
          <w:color w:val="000000"/>
          <w:highlight w:val="non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b/>
          <w:bCs/>
          <w:color w:val="000000"/>
          <w:highlight w:val="white"/>
        </w:rPr>
      </w:pPr>
      <w:r>
        <w:rPr>
          <w:b/>
          <w:bCs/>
          <w:color w:val="000000"/>
        </w:rPr>
        <w:t xml:space="preserve">8</w:t>
      </w:r>
      <w:r>
        <w:rPr>
          <w:b/>
          <w:bCs/>
          <w:color w:val="000000"/>
          <w:highlight w:val="white"/>
        </w:rPr>
        <w:t xml:space="preserve">. </w:t>
      </w:r>
      <w:r>
        <w:rPr>
          <w:color w:val="000000"/>
          <w:highlight w:val="white"/>
        </w:rPr>
        <w:t xml:space="preserve">Расчет прогноза по коду дохода </w:t>
      </w:r>
      <w:r>
        <w:rPr>
          <w:b/>
          <w:bCs/>
          <w:color w:val="000000"/>
          <w:highlight w:val="white"/>
        </w:rPr>
      </w:r>
      <w:r>
        <w:rPr>
          <w:b/>
          <w:bCs/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b/>
          <w:color w:val="000000"/>
          <w:highlight w:val="white"/>
        </w:rPr>
        <w:t xml:space="preserve">006 1 14 02 022 02 000 440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«</w:t>
      </w:r>
      <w:r>
        <w:rPr>
          <w:b/>
          <w:color w:val="000000"/>
          <w:highlight w:val="white"/>
        </w:rPr>
        <w:t xml:space="preserve">Доходы от реализации имущества, находящегося в оперативном управлении учреждений, находящихся в ведении органов государственной власти субъектов РФ в части реализации материальных запасов по указанному имуществу</w:t>
      </w:r>
      <w:r>
        <w:rPr>
          <w:b/>
          <w:color w:val="000000"/>
          <w:highlight w:val="white"/>
        </w:rPr>
        <w:t xml:space="preserve">»</w:t>
      </w:r>
      <w:r>
        <w:rPr>
          <w:color w:val="000000"/>
          <w:highlight w:val="white"/>
        </w:rPr>
        <w:t xml:space="preserve"> прогнозируется методом усреднения исходя из доходов от реализации имущества за 3 последних года или за весь период поступления данных доходов, в случае если он не превышает 3 года, предшествующих году, в котором осуществлялось планирование: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(П/</w:t>
      </w:r>
      <w:r>
        <w:rPr>
          <w:color w:val="000000"/>
          <w:highlight w:val="white"/>
        </w:rPr>
        <w:t xml:space="preserve">М)*</w:t>
      </w:r>
      <w:r>
        <w:rPr>
          <w:color w:val="000000"/>
          <w:highlight w:val="white"/>
        </w:rPr>
        <w:t xml:space="preserve">12+/- F,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 – фактическое поступление доходов от реализации имущества за 3 последних года, предшествующих году, в котором осуществляется планирование, или за весь период поступления данных доходов в случае, если он не превышает 3 года,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М – количество полных месяцев, вошедших в период, за который осуществлен расчет фактического поступления доходов от реализации,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+/- F - корректирующая сумма поступлений (увеличение или уменьшение прогноза поступления доходов), у</w:t>
      </w:r>
      <w:r>
        <w:rPr>
          <w:color w:val="000000"/>
          <w:highlight w:val="white"/>
        </w:rPr>
        <w:t xml:space="preserve">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Прогноз поступлений составит: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2026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 </w:t>
      </w:r>
      <w:r>
        <w:rPr>
          <w:b/>
          <w:color w:val="000000"/>
          <w:highlight w:val="white"/>
        </w:rPr>
        <w:t xml:space="preserve">55,9 тыс. руб</w:t>
      </w:r>
      <w:r>
        <w:rPr>
          <w:b/>
          <w:color w:val="000000"/>
          <w:highlight w:val="white"/>
        </w:rPr>
        <w:t xml:space="preserve">лей</w:t>
      </w:r>
      <w:r>
        <w:rPr>
          <w:color w:val="000000"/>
          <w:highlight w:val="white"/>
        </w:rPr>
        <w:t xml:space="preserve">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55,9</w:t>
      </w:r>
      <w:r>
        <w:rPr>
          <w:color w:val="000000"/>
          <w:highlight w:val="white"/>
        </w:rPr>
        <w:t xml:space="preserve"> = (167,6</w:t>
      </w:r>
      <w:r>
        <w:rPr>
          <w:color w:val="000000"/>
          <w:highlight w:val="white"/>
        </w:rPr>
        <w:t xml:space="preserve">/</w:t>
      </w:r>
      <w:r>
        <w:rPr>
          <w:color w:val="000000"/>
          <w:highlight w:val="white"/>
        </w:rPr>
        <w:t xml:space="preserve">36) *</w:t>
      </w:r>
      <w:r>
        <w:rPr>
          <w:color w:val="000000"/>
          <w:highlight w:val="white"/>
        </w:rPr>
        <w:t xml:space="preserve">12 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167,6 тыс. руб. – поступление доходов от реализации имущества за 3 года: </w:t>
      </w:r>
      <w:r>
        <w:rPr>
          <w:color w:val="000000"/>
          <w:highlight w:val="white"/>
        </w:rPr>
        <w:t xml:space="preserve">ожидаемое за  2025 год - 57,4 тыс. руб., 2024</w:t>
      </w:r>
      <w:r>
        <w:rPr>
          <w:color w:val="000000"/>
          <w:highlight w:val="white"/>
        </w:rPr>
        <w:t xml:space="preserve"> год – </w:t>
      </w:r>
      <w:r>
        <w:rPr>
          <w:color w:val="000000"/>
          <w:highlight w:val="white"/>
        </w:rPr>
        <w:t xml:space="preserve">68,1</w:t>
      </w:r>
      <w:r>
        <w:rPr>
          <w:color w:val="000000"/>
          <w:highlight w:val="white"/>
        </w:rPr>
        <w:t xml:space="preserve"> тыс. руб.; 2</w:t>
      </w:r>
      <w:r>
        <w:rPr>
          <w:color w:val="000000"/>
          <w:highlight w:val="white"/>
        </w:rPr>
        <w:t xml:space="preserve">023 год – 42,1 тыс. руб.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2027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</w:t>
      </w:r>
      <w:r>
        <w:rPr>
          <w:b/>
          <w:color w:val="000000"/>
          <w:highlight w:val="white"/>
        </w:rPr>
        <w:t xml:space="preserve">– 60,4 </w:t>
      </w:r>
      <w:r>
        <w:rPr>
          <w:b/>
          <w:color w:val="000000"/>
          <w:highlight w:val="white"/>
        </w:rPr>
        <w:t xml:space="preserve"> тыс. рублей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60,4 </w:t>
      </w:r>
      <w:r>
        <w:rPr>
          <w:color w:val="000000"/>
          <w:highlight w:val="white"/>
        </w:rPr>
        <w:t xml:space="preserve">= (181,4</w:t>
      </w:r>
      <w:r>
        <w:rPr>
          <w:color w:val="000000"/>
          <w:highlight w:val="white"/>
        </w:rPr>
        <w:t xml:space="preserve">/</w:t>
      </w:r>
      <w:r>
        <w:rPr>
          <w:color w:val="000000"/>
          <w:highlight w:val="white"/>
        </w:rPr>
        <w:t xml:space="preserve">36) *</w:t>
      </w:r>
      <w:r>
        <w:rPr>
          <w:color w:val="000000"/>
          <w:highlight w:val="white"/>
        </w:rPr>
        <w:t xml:space="preserve">12</w:t>
      </w:r>
      <w:r>
        <w:rPr>
          <w:color w:val="000000"/>
          <w:highlight w:val="white"/>
        </w:rPr>
        <w:t xml:space="preserve">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0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   181,4 </w:t>
      </w:r>
      <w:r>
        <w:rPr>
          <w:color w:val="000000"/>
          <w:highlight w:val="white"/>
        </w:rPr>
        <w:t xml:space="preserve">тыс. руб. – поступление доходов от реализации имущест</w:t>
      </w:r>
      <w:r>
        <w:rPr>
          <w:color w:val="000000"/>
          <w:highlight w:val="white"/>
        </w:rPr>
        <w:t xml:space="preserve">ва за 3 года: прогнозное на 2026 год  - 55,9 тыс. руб.,</w:t>
      </w:r>
      <w:r>
        <w:rPr>
          <w:color w:val="000000"/>
          <w:highlight w:val="white"/>
        </w:rPr>
        <w:t xml:space="preserve">ожидаемое</w:t>
      </w:r>
      <w:r>
        <w:rPr>
          <w:color w:val="000000"/>
          <w:highlight w:val="white"/>
        </w:rPr>
        <w:t xml:space="preserve"> 2025 год  –  57,4 тыс. руб., 2024</w:t>
      </w:r>
      <w:r>
        <w:rPr>
          <w:color w:val="000000"/>
          <w:highlight w:val="white"/>
        </w:rPr>
        <w:t xml:space="preserve"> год – </w:t>
      </w:r>
      <w:r>
        <w:rPr>
          <w:color w:val="000000"/>
          <w:highlight w:val="white"/>
        </w:rPr>
        <w:t xml:space="preserve">68,1 тыс. руб.; </w:t>
      </w:r>
      <w:r>
        <w:rPr>
          <w:color w:val="000000"/>
          <w:highlight w:val="white"/>
        </w:rPr>
        <w:t xml:space="preserve">.;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на </w:t>
      </w:r>
      <w:r>
        <w:rPr>
          <w:b/>
          <w:color w:val="000000"/>
          <w:highlight w:val="white"/>
        </w:rPr>
        <w:t xml:space="preserve">2028</w:t>
      </w:r>
      <w:r>
        <w:rPr>
          <w:b/>
          <w:color w:val="000000"/>
          <w:highlight w:val="white"/>
        </w:rPr>
        <w:t xml:space="preserve"> год</w:t>
      </w:r>
      <w:r>
        <w:rPr>
          <w:color w:val="000000"/>
          <w:highlight w:val="white"/>
        </w:rPr>
        <w:t xml:space="preserve"> –</w:t>
      </w:r>
      <w:r>
        <w:rPr>
          <w:b/>
          <w:color w:val="000000"/>
          <w:highlight w:val="white"/>
        </w:rPr>
        <w:t xml:space="preserve">57,9  тыс. рублей</w:t>
      </w:r>
      <w:r>
        <w:rPr>
          <w:color w:val="000000"/>
          <w:highlight w:val="white"/>
        </w:rPr>
        <w:t xml:space="preserve">:</w:t>
      </w:r>
      <w:r>
        <w:rPr>
          <w:highlight w:val="white"/>
        </w:rPr>
        <w:t xml:space="preserve"> 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57,9</w:t>
      </w:r>
      <w:r>
        <w:rPr>
          <w:color w:val="000000"/>
          <w:highlight w:val="white"/>
        </w:rPr>
        <w:t xml:space="preserve"> = (173,7</w:t>
      </w:r>
      <w:r>
        <w:rPr>
          <w:color w:val="000000"/>
          <w:highlight w:val="white"/>
        </w:rPr>
        <w:t xml:space="preserve">/</w:t>
      </w:r>
      <w:r>
        <w:rPr>
          <w:color w:val="000000"/>
          <w:highlight w:val="white"/>
        </w:rPr>
        <w:t xml:space="preserve">36) *</w:t>
      </w:r>
      <w:r>
        <w:rPr>
          <w:color w:val="000000"/>
          <w:highlight w:val="white"/>
        </w:rPr>
        <w:t xml:space="preserve">12+/– 0, 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none"/>
        </w:rPr>
      </w:pPr>
      <w:r>
        <w:rPr>
          <w:color w:val="000000"/>
          <w:highlight w:val="white"/>
        </w:rPr>
        <w:t xml:space="preserve">173,7 тыс. руб. – поступление доходов от реализации имущест</w:t>
      </w:r>
      <w:r>
        <w:rPr>
          <w:color w:val="000000"/>
          <w:highlight w:val="white"/>
        </w:rPr>
        <w:t xml:space="preserve">ва за 3 года: прогнозное на 2027 год - 60,4 тыс. руб., прогнозное 2026</w:t>
      </w:r>
      <w:r>
        <w:rPr>
          <w:color w:val="000000"/>
          <w:highlight w:val="white"/>
        </w:rPr>
        <w:t xml:space="preserve"> год – </w:t>
      </w:r>
      <w:r>
        <w:rPr>
          <w:color w:val="000000"/>
          <w:highlight w:val="white"/>
        </w:rPr>
        <w:t xml:space="preserve">55,9 тыс. руб.; </w:t>
      </w:r>
      <w:r>
        <w:rPr>
          <w:color w:val="000000"/>
          <w:highlight w:val="white"/>
        </w:rPr>
        <w:t xml:space="preserve">ожидаемое </w:t>
      </w:r>
      <w:r>
        <w:rPr>
          <w:color w:val="000000"/>
          <w:highlight w:val="white"/>
        </w:rPr>
        <w:t xml:space="preserve">на 2025</w:t>
      </w:r>
      <w:r>
        <w:rPr>
          <w:color w:val="000000"/>
          <w:highlight w:val="white"/>
        </w:rPr>
        <w:t xml:space="preserve"> год – </w:t>
      </w:r>
      <w:r>
        <w:rPr>
          <w:color w:val="000000"/>
          <w:highlight w:val="white"/>
        </w:rPr>
        <w:t xml:space="preserve">57,4 тыс. руб.;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</w:r>
      <w:r>
        <w:rPr>
          <w:color w:val="000000"/>
          <w:highlight w:val="non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none"/>
        </w:rPr>
      </w:r>
      <w:r>
        <w:rPr>
          <w:color w:val="000000"/>
          <w:highlight w:val="non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rFonts w:eastAsia="BatangChe"/>
          <w:b/>
          <w:color w:val="000000"/>
          <w:highlight w:val="white"/>
        </w:rPr>
        <w:t xml:space="preserve">9.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Расчет прогнозного объема поступлений </w:t>
      </w:r>
      <w:r>
        <w:rPr>
          <w:color w:val="000000"/>
          <w:highlight w:val="white"/>
        </w:rPr>
        <w:t xml:space="preserve">доходов в областной бюджет должностными лицами инспекций, уполномоченные накладывать штрафные </w:t>
      </w:r>
      <w:r>
        <w:rPr>
          <w:color w:val="000000"/>
          <w:highlight w:val="white"/>
        </w:rPr>
        <w:t xml:space="preserve">санкци</w:t>
      </w:r>
      <w:r>
        <w:rPr>
          <w:color w:val="000000"/>
          <w:highlight w:val="white"/>
        </w:rPr>
        <w:t xml:space="preserve">и</w:t>
      </w:r>
      <w:r>
        <w:rPr>
          <w:color w:val="000000"/>
          <w:highlight w:val="white"/>
        </w:rPr>
        <w:t xml:space="preserve"> осуществляется методом прямого расчета (в случае, если фиксированный размер платежа в денежном выражении или его диапазон установлены законодательно) на основании количества правонарушений по видам и размерам платежа за каждый вид правонарушений: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2400" w:leader="none"/>
        </w:tabs>
        <w:spacing w:line="276" w:lineRule="auto"/>
        <w:ind w:left="680" w:right="-144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</w:t>
      </w:r>
      <w:r>
        <w:rPr>
          <w:color w:val="000000"/>
          <w:highlight w:val="white"/>
        </w:rPr>
        <w:t xml:space="preserve">=</w:t>
      </w:r>
      <w:r>
        <w:rPr>
          <w:color w:val="000000"/>
          <w:highlight w:val="white"/>
        </w:rPr>
        <w:t xml:space="preserve">(</w:t>
      </w:r>
      <w:r>
        <w:rPr>
          <w:color w:val="000000"/>
          <w:highlight w:val="white"/>
        </w:rPr>
        <w:t xml:space="preserve">Пi</w:t>
      </w:r>
      <w:r>
        <w:rPr>
          <w:color w:val="000000"/>
          <w:highlight w:val="white"/>
        </w:rPr>
        <w:t xml:space="preserve"> *  </w:t>
      </w:r>
      <w:r>
        <w:rPr>
          <w:color w:val="000000"/>
          <w:highlight w:val="white"/>
        </w:rPr>
        <w:t xml:space="preserve">РПi</w:t>
      </w:r>
      <w:r>
        <w:rPr>
          <w:color w:val="000000"/>
          <w:highlight w:val="white"/>
        </w:rPr>
        <w:t xml:space="preserve">)+/- F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2400" w:leader="none"/>
        </w:tabs>
        <w:spacing w:line="276" w:lineRule="auto"/>
        <w:ind w:left="680"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 – прогнозируемый объем поступлений доходов (штрафов),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tabs>
          <w:tab w:val="left" w:pos="2400" w:leader="none"/>
        </w:tabs>
        <w:spacing w:line="276" w:lineRule="auto"/>
        <w:ind w:left="680"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Пi</w:t>
      </w:r>
      <w:r>
        <w:rPr>
          <w:color w:val="000000"/>
          <w:highlight w:val="white"/>
        </w:rPr>
        <w:t xml:space="preserve"> – </w:t>
      </w:r>
      <w:r>
        <w:rPr>
          <w:color w:val="000000"/>
          <w:highlight w:val="white"/>
        </w:rPr>
        <w:t xml:space="preserve">прогнозируемое количество </w:t>
      </w:r>
      <w:r>
        <w:rPr>
          <w:color w:val="000000"/>
          <w:highlight w:val="white"/>
        </w:rPr>
        <w:t xml:space="preserve">правонарушений i</w:t>
      </w:r>
      <w:r>
        <w:rPr>
          <w:color w:val="000000"/>
          <w:highlight w:val="white"/>
        </w:rPr>
        <w:t xml:space="preserve">-того вида,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РПi</w:t>
      </w:r>
      <w:r>
        <w:rPr>
          <w:color w:val="000000"/>
          <w:highlight w:val="white"/>
        </w:rPr>
        <w:t xml:space="preserve"> – размер</w:t>
      </w:r>
      <w:r>
        <w:rPr>
          <w:color w:val="000000"/>
          <w:highlight w:val="white"/>
        </w:rPr>
        <w:t xml:space="preserve">ы</w:t>
      </w:r>
      <w:r>
        <w:rPr>
          <w:color w:val="000000"/>
          <w:highlight w:val="white"/>
        </w:rPr>
        <w:t xml:space="preserve"> платежа за правонарушение i-того вида (с учетом изменений законодательства),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(Приложение 3)</w:t>
      </w:r>
      <w:r>
        <w:rPr>
          <w:color w:val="000000"/>
          <w:highlight w:val="white"/>
        </w:rPr>
        <w:t xml:space="preserve">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          </w:t>
      </w:r>
      <w:r>
        <w:rPr>
          <w:b/>
          <w:color w:val="000000"/>
          <w:highlight w:val="white"/>
        </w:rPr>
        <w:t xml:space="preserve">10.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Расчет прогнозного объема поступлений</w:t>
      </w:r>
      <w:r>
        <w:rPr>
          <w:color w:val="000000"/>
          <w:highlight w:val="white"/>
        </w:rPr>
        <w:t xml:space="preserve"> доходов в областной бюджет </w:t>
      </w:r>
      <w:r>
        <w:rPr>
          <w:color w:val="000000"/>
          <w:highlight w:val="white"/>
        </w:rPr>
        <w:t xml:space="preserve">от штрафных санкций</w:t>
      </w:r>
      <w:r>
        <w:rPr>
          <w:color w:val="000000"/>
          <w:highlight w:val="white"/>
        </w:rPr>
        <w:t xml:space="preserve">,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выставленные мировыми судьями</w:t>
      </w:r>
      <w:r>
        <w:rPr>
          <w:color w:val="000000"/>
          <w:highlight w:val="white"/>
        </w:rPr>
        <w:t xml:space="preserve"> осуществляется методом прямого расчета (в случае, если фиксированный размер платежа в денежном выражении или его диапазон установлены законодательно) на основании количества правонарушений по видам и размерам платежа за каждый вид правонарушений: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center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Д=</w:t>
      </w:r>
      <w:r>
        <w:rPr>
          <w:color w:val="000000"/>
          <w:highlight w:val="white"/>
        </w:rPr>
        <w:t xml:space="preserve">∑ (</w:t>
      </w:r>
      <w:r>
        <w:rPr>
          <w:color w:val="000000"/>
          <w:highlight w:val="white"/>
        </w:rPr>
        <w:t xml:space="preserve">Ti</w:t>
      </w:r>
      <w:r>
        <w:rPr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* </w:t>
      </w:r>
      <w:r>
        <w:rPr>
          <w:color w:val="000000"/>
          <w:highlight w:val="white"/>
        </w:rPr>
        <w:t xml:space="preserve">Р</w:t>
      </w:r>
      <w:r>
        <w:rPr>
          <w:color w:val="000000"/>
          <w:highlight w:val="white"/>
        </w:rPr>
        <w:t xml:space="preserve">Ti</w:t>
      </w:r>
      <w:r>
        <w:rPr>
          <w:color w:val="000000"/>
          <w:highlight w:val="white"/>
        </w:rPr>
        <w:t xml:space="preserve">*0,</w:t>
      </w:r>
      <w:r>
        <w:rPr>
          <w:color w:val="000000"/>
          <w:highlight w:val="white"/>
        </w:rPr>
        <w:t xml:space="preserve">5)+</w:t>
      </w:r>
      <w:r>
        <w:rPr>
          <w:color w:val="000000"/>
          <w:highlight w:val="white"/>
        </w:rPr>
        <w:t xml:space="preserve">/- F</w:t>
      </w:r>
      <w:r>
        <w:rPr>
          <w:color w:val="000000"/>
          <w:highlight w:val="white"/>
        </w:rPr>
        <w:t xml:space="preserve">, </w:t>
      </w:r>
      <w:r>
        <w:rPr>
          <w:color w:val="000000"/>
          <w:highlight w:val="white"/>
        </w:rPr>
        <w:t xml:space="preserve">где: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Д – прогнозируемый объем поступлений доходов (штрафов),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Ti</w:t>
      </w:r>
      <w:r>
        <w:rPr>
          <w:color w:val="000000"/>
          <w:highlight w:val="white"/>
        </w:rPr>
        <w:t xml:space="preserve"> – прогнозируемое количество </w:t>
      </w:r>
      <w:r>
        <w:rPr>
          <w:color w:val="000000"/>
          <w:highlight w:val="white"/>
        </w:rPr>
        <w:t xml:space="preserve">правонарушений i</w:t>
      </w:r>
      <w:r>
        <w:rPr>
          <w:color w:val="000000"/>
          <w:highlight w:val="white"/>
        </w:rPr>
        <w:t xml:space="preserve">-того вида,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РTi</w:t>
      </w:r>
      <w:r>
        <w:rPr>
          <w:color w:val="000000"/>
          <w:highlight w:val="white"/>
        </w:rPr>
        <w:t xml:space="preserve"> – размерам платежа за правонарушение i-того вида (с </w:t>
      </w:r>
      <w:r>
        <w:rPr>
          <w:color w:val="000000"/>
          <w:highlight w:val="white"/>
        </w:rPr>
        <w:t xml:space="preserve">учетом изменений</w:t>
      </w:r>
      <w:r>
        <w:rPr>
          <w:color w:val="000000"/>
          <w:highlight w:val="white"/>
        </w:rPr>
        <w:t xml:space="preserve"> законодательства),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  <w:highlight w:val="white"/>
        </w:rPr>
      </w:pPr>
      <w:r>
        <w:rPr>
          <w:color w:val="000000"/>
          <w:highlight w:val="white"/>
        </w:rPr>
        <w:t xml:space="preserve">+/- F - корректирующая сумма поступлений, применяется к административным штрафам, установленным главой 7, 13, 14, 19 КоАП РФ, налагаемые мировыми судьями</w:t>
      </w:r>
      <w:r>
        <w:rPr>
          <w:color w:val="000000"/>
          <w:highlight w:val="white"/>
        </w:rPr>
        <w:t xml:space="preserve">, (Приложение 4).</w:t>
      </w:r>
      <w:r>
        <w:rPr>
          <w:color w:val="000000"/>
          <w:highlight w:val="white"/>
        </w:rPr>
      </w:r>
      <w:r>
        <w:rPr>
          <w:color w:val="000000"/>
          <w:highlight w:val="white"/>
        </w:rPr>
      </w:r>
    </w:p>
    <w:p>
      <w:pPr>
        <w:pStyle w:val="835"/>
        <w:ind w:left="680" w:right="-144" w:firstLine="709"/>
        <w:jc w:val="both"/>
        <w:rPr>
          <w:color w:val="000000"/>
        </w:rPr>
      </w:pPr>
      <w:r>
        <w:rPr>
          <w:color w:val="000000"/>
          <w:highlight w:val="none"/>
        </w:rPr>
      </w:r>
      <w:r>
        <w:rPr>
          <w:color w:val="000000"/>
        </w:rPr>
      </w:r>
      <w:r>
        <w:rPr>
          <w:color w:val="000000"/>
        </w:rPr>
      </w:r>
    </w:p>
    <w:p>
      <w:pPr>
        <w:ind w:left="680" w:right="-144" w:firstLine="709"/>
        <w:jc w:val="both"/>
        <w:rPr>
          <w:rFonts w:eastAsiaTheme="minorHAnsi"/>
          <w:highlight w:val="white"/>
        </w:rPr>
      </w:pPr>
      <w:r>
        <w:rPr>
          <w:b/>
          <w:bCs/>
          <w:color w:val="000000"/>
          <w:highlight w:val="white"/>
        </w:rPr>
        <w:t xml:space="preserve">1</w:t>
      </w:r>
      <w:r>
        <w:rPr>
          <w:b/>
          <w:bCs/>
          <w:color w:val="000000"/>
          <w:highlight w:val="white"/>
        </w:rPr>
        <w:t xml:space="preserve">1</w:t>
      </w:r>
      <w:r>
        <w:rPr>
          <w:color w:val="000000"/>
          <w:highlight w:val="white"/>
        </w:rPr>
        <w:t xml:space="preserve">. </w:t>
      </w:r>
      <w:r>
        <w:rPr>
          <w:rFonts w:eastAsiaTheme="minorHAnsi"/>
          <w:highlight w:val="white"/>
          <w:lang w:eastAsia="en-US"/>
        </w:rPr>
        <w:t xml:space="preserve">Расчет прогнозного показателя   по коду доходов: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ind w:left="680" w:right="-144" w:firstLine="709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b/>
          <w:highlight w:val="white"/>
          <w:lang w:eastAsia="en-US"/>
        </w:rPr>
        <w:t xml:space="preserve">1 16 07010 02 0000 140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b/>
          <w:highlight w:val="white"/>
          <w:lang w:eastAsia="en-US"/>
        </w:rPr>
        <w:t xml:space="preserve">«Штрафы, неустойки, пени, у</w:t>
      </w:r>
      <w:r>
        <w:rPr>
          <w:rFonts w:eastAsiaTheme="minorHAnsi"/>
          <w:b/>
          <w:highlight w:val="white"/>
          <w:lang w:eastAsia="en-US"/>
        </w:rPr>
        <w:t xml:space="preserve">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</w:t>
      </w:r>
      <w:r>
        <w:rPr>
          <w:rFonts w:asciiTheme="minorHAnsi" w:hAnsiTheme="minorHAnsi" w:eastAsiaTheme="minorHAnsi" w:cstheme="minorBid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осуществляется методом усреднения на основании данных о фактическом поступлении прочих денежных взысканий (штрафов) по формуле: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center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(Ш/</w:t>
      </w:r>
      <w:r>
        <w:rPr>
          <w:rFonts w:eastAsiaTheme="minorHAnsi"/>
          <w:highlight w:val="white"/>
          <w:lang w:eastAsia="en-US"/>
        </w:rPr>
        <w:t xml:space="preserve">М) *</w:t>
      </w:r>
      <w:r>
        <w:rPr>
          <w:rFonts w:eastAsiaTheme="minorHAnsi"/>
          <w:highlight w:val="white"/>
          <w:lang w:eastAsia="en-US"/>
        </w:rPr>
        <w:t xml:space="preserve">12+/- F,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Ш – фактическое поступление прочих денежных взысканий (штрафов) за 3 последних года, предшествующих году, в котором осуществляется планирование, или за весь период поступления данных доходов в случае, если он не превышает 3 года,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М – количество полных месяцев, вошедших в период, за который осуществлен расчет фактического поступления прочих денежных взысканий (штрафов),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+/- F - корректирующая сумма поступлений (увеличение или уменьшение прогноза поступления доходов), у</w:t>
      </w:r>
      <w:r>
        <w:rPr>
          <w:rFonts w:eastAsiaTheme="minorHAnsi"/>
          <w:highlight w:val="white"/>
          <w:lang w:eastAsia="en-US"/>
        </w:rPr>
        <w:t xml:space="preserve">читывающая фактическое поступление в областной бюджет Новосибирской области доходов за истекшие месяцы текущего финансового года, а 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Прогноз поступлений составит: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на </w:t>
      </w:r>
      <w:r>
        <w:rPr>
          <w:rFonts w:eastAsiaTheme="minorHAnsi"/>
          <w:b/>
          <w:highlight w:val="white"/>
          <w:lang w:eastAsia="en-US"/>
        </w:rPr>
        <w:t xml:space="preserve">2026</w:t>
      </w:r>
      <w:r>
        <w:rPr>
          <w:rFonts w:eastAsiaTheme="minorHAnsi"/>
          <w:b/>
          <w:highlight w:val="white"/>
          <w:lang w:eastAsia="en-US"/>
        </w:rPr>
        <w:t xml:space="preserve">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highlight w:val="white"/>
          <w:lang w:eastAsia="en-US"/>
        </w:rPr>
        <w:t xml:space="preserve">285,7</w:t>
      </w:r>
      <w:r>
        <w:rPr>
          <w:rFonts w:eastAsiaTheme="minorHAnsi"/>
          <w:b/>
          <w:highlight w:val="white"/>
          <w:lang w:eastAsia="en-US"/>
        </w:rPr>
        <w:t xml:space="preserve"> тыс. руб</w:t>
      </w:r>
      <w:r>
        <w:rPr>
          <w:rFonts w:eastAsiaTheme="minorHAnsi"/>
          <w:b/>
          <w:highlight w:val="white"/>
          <w:lang w:eastAsia="en-US"/>
        </w:rPr>
        <w:t xml:space="preserve">лей</w:t>
      </w:r>
      <w:r>
        <w:rPr>
          <w:rFonts w:eastAsiaTheme="minorHAnsi"/>
          <w:highlight w:val="white"/>
          <w:lang w:eastAsia="en-US"/>
        </w:rPr>
        <w:t xml:space="preserve">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285,7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(857,1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tabs>
          <w:tab w:val="left" w:pos="567" w:leader="none"/>
          <w:tab w:val="left" w:pos="2400" w:leader="none"/>
        </w:tabs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857,1 тыс. руб.</w:t>
      </w:r>
      <w:r>
        <w:rPr>
          <w:rFonts w:eastAsiaTheme="minorHAnsi"/>
          <w:highlight w:val="white"/>
          <w:lang w:eastAsia="en-US"/>
        </w:rPr>
        <w:t xml:space="preserve"> –поступление прочих денежных взысканий (штра</w:t>
      </w:r>
      <w:r>
        <w:rPr>
          <w:rFonts w:eastAsiaTheme="minorHAnsi"/>
          <w:highlight w:val="white"/>
          <w:lang w:eastAsia="en-US"/>
        </w:rPr>
        <w:t xml:space="preserve">фов) за 3 года: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255,</w:t>
      </w:r>
      <w:r>
        <w:rPr>
          <w:rFonts w:eastAsiaTheme="minorHAnsi"/>
          <w:highlight w:val="white"/>
          <w:lang w:eastAsia="en-US"/>
        </w:rPr>
        <w:t xml:space="preserve"> 8 тыс. руб.</w:t>
      </w:r>
      <w:r>
        <w:rPr>
          <w:rFonts w:eastAsiaTheme="minorHAnsi"/>
          <w:highlight w:val="white"/>
          <w:lang w:eastAsia="en-US"/>
        </w:rPr>
        <w:t xml:space="preserve">; 2024 год - 378,0 тыс. руб., 2023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223,3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на </w:t>
      </w:r>
      <w:r>
        <w:rPr>
          <w:rFonts w:eastAsiaTheme="minorHAnsi"/>
          <w:b/>
          <w:highlight w:val="white"/>
          <w:lang w:eastAsia="en-US"/>
        </w:rPr>
        <w:t xml:space="preserve">2027</w:t>
      </w:r>
      <w:r>
        <w:rPr>
          <w:rFonts w:eastAsiaTheme="minorHAnsi"/>
          <w:b/>
          <w:highlight w:val="white"/>
          <w:lang w:eastAsia="en-US"/>
        </w:rPr>
        <w:t xml:space="preserve">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highlight w:val="white"/>
          <w:lang w:eastAsia="en-US"/>
        </w:rPr>
        <w:t xml:space="preserve">306,5 тыс. рублей</w:t>
      </w:r>
      <w:r>
        <w:rPr>
          <w:rFonts w:eastAsiaTheme="minorHAnsi"/>
          <w:highlight w:val="white"/>
          <w:lang w:eastAsia="en-US"/>
        </w:rPr>
        <w:t xml:space="preserve">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306,5 </w:t>
      </w:r>
      <w:r>
        <w:rPr>
          <w:rFonts w:eastAsiaTheme="minorHAnsi"/>
          <w:highlight w:val="white"/>
          <w:lang w:eastAsia="en-US"/>
        </w:rPr>
        <w:t xml:space="preserve">= (</w:t>
      </w:r>
      <w:r>
        <w:rPr>
          <w:rFonts w:eastAsiaTheme="minorHAnsi"/>
          <w:highlight w:val="white"/>
          <w:lang w:eastAsia="en-US"/>
        </w:rPr>
        <w:t xml:space="preserve">919,5/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919,5 </w:t>
      </w:r>
      <w:r>
        <w:rPr>
          <w:rFonts w:eastAsiaTheme="minorHAnsi"/>
          <w:highlight w:val="white"/>
          <w:lang w:eastAsia="en-US"/>
        </w:rPr>
        <w:t xml:space="preserve">тыс. руб.</w:t>
      </w:r>
      <w:r>
        <w:rPr>
          <w:rFonts w:eastAsiaTheme="minorHAnsi"/>
          <w:highlight w:val="white"/>
          <w:lang w:eastAsia="en-US"/>
        </w:rPr>
        <w:t xml:space="preserve"> –поступление прочих денежных взысканий (штрафо</w:t>
      </w:r>
      <w:r>
        <w:rPr>
          <w:rFonts w:eastAsiaTheme="minorHAnsi"/>
          <w:highlight w:val="white"/>
          <w:lang w:eastAsia="en-US"/>
        </w:rPr>
        <w:t xml:space="preserve">в) за 3 года: прогнозное на 2026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285,7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255,8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2024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378,0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b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на </w:t>
      </w:r>
      <w:r>
        <w:rPr>
          <w:rFonts w:eastAsiaTheme="minorHAnsi"/>
          <w:b/>
          <w:highlight w:val="white"/>
          <w:lang w:eastAsia="en-US"/>
        </w:rPr>
        <w:t xml:space="preserve">2028</w:t>
      </w:r>
      <w:r>
        <w:rPr>
          <w:rFonts w:eastAsiaTheme="minorHAnsi"/>
          <w:b/>
          <w:highlight w:val="white"/>
          <w:lang w:eastAsia="en-US"/>
        </w:rPr>
        <w:t xml:space="preserve">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highlight w:val="white"/>
          <w:lang w:eastAsia="en-US"/>
        </w:rPr>
        <w:t xml:space="preserve">282,6</w:t>
      </w:r>
      <w:bookmarkStart w:id="0" w:name="_GoBack"/>
      <w:r>
        <w:rPr>
          <w:highlight w:val="white"/>
        </w:rPr>
      </w:r>
      <w:bookmarkEnd w:id="0"/>
      <w:r>
        <w:rPr>
          <w:rFonts w:eastAsiaTheme="minorHAnsi"/>
          <w:b/>
          <w:highlight w:val="white"/>
          <w:lang w:eastAsia="en-US"/>
        </w:rPr>
        <w:t xml:space="preserve"> тыс. руб</w:t>
      </w:r>
      <w:r>
        <w:rPr>
          <w:rFonts w:eastAsiaTheme="minorHAnsi"/>
          <w:b/>
          <w:highlight w:val="white"/>
          <w:lang w:eastAsia="en-US"/>
        </w:rPr>
        <w:t xml:space="preserve">лей</w:t>
      </w:r>
      <w:r>
        <w:rPr>
          <w:rFonts w:eastAsiaTheme="minorHAnsi"/>
          <w:highlight w:val="white"/>
          <w:lang w:eastAsia="en-US"/>
        </w:rPr>
        <w:t xml:space="preserve">:</w:t>
      </w:r>
      <w:r>
        <w:rPr>
          <w:rFonts w:eastAsiaTheme="minorHAnsi"/>
          <w:b/>
          <w:highlight w:val="white"/>
        </w:rPr>
      </w:r>
      <w:r>
        <w:rPr>
          <w:rFonts w:eastAsiaTheme="minorHAnsi"/>
          <w:b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282,6= (382,9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12+/– 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848,0 тыс. руб.</w:t>
      </w:r>
      <w:r>
        <w:rPr>
          <w:rFonts w:eastAsiaTheme="minorHAnsi"/>
          <w:highlight w:val="white"/>
          <w:lang w:eastAsia="en-US"/>
        </w:rPr>
        <w:t xml:space="preserve"> –поступление прочих денежных взысканий (штрафо</w:t>
      </w:r>
      <w:r>
        <w:rPr>
          <w:rFonts w:eastAsiaTheme="minorHAnsi"/>
          <w:highlight w:val="white"/>
          <w:lang w:eastAsia="en-US"/>
        </w:rPr>
        <w:t xml:space="preserve">в) за 3 года: прогнозное на 2027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306,5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прогнозное на 2026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285,7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ожидаемое в 2024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255,8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rPr>
          <w:b/>
          <w:highlight w:val="yellow"/>
        </w:rPr>
      </w:pPr>
      <w:r>
        <w:rPr>
          <w:b/>
          <w:highlight w:val="yellow"/>
        </w:rPr>
      </w:r>
      <w:r>
        <w:rPr>
          <w:b/>
          <w:highlight w:val="yellow"/>
        </w:rPr>
      </w:r>
      <w:r>
        <w:rPr>
          <w:b/>
          <w:highlight w:val="yellow"/>
        </w:rPr>
      </w:r>
    </w:p>
    <w:p>
      <w:pPr>
        <w:spacing w:line="276" w:lineRule="auto"/>
        <w:ind w:left="680" w:right="-144" w:firstLine="709"/>
        <w:jc w:val="both"/>
        <w:rPr>
          <w:rFonts w:eastAsiaTheme="minorHAnsi"/>
          <w:highlight w:val="white"/>
        </w:rPr>
      </w:pPr>
      <w:r>
        <w:rPr>
          <w:rFonts w:eastAsiaTheme="minorHAnsi"/>
          <w:b/>
          <w:bCs/>
          <w:highlight w:val="white"/>
          <w:lang w:eastAsia="en-US"/>
        </w:rPr>
        <w:t xml:space="preserve">1</w:t>
      </w:r>
      <w:r>
        <w:rPr>
          <w:rFonts w:eastAsiaTheme="minorHAnsi"/>
          <w:b/>
          <w:bCs/>
          <w:highlight w:val="white"/>
          <w:lang w:eastAsia="en-US"/>
        </w:rPr>
        <w:t xml:space="preserve">2</w:t>
      </w:r>
      <w:r>
        <w:rPr>
          <w:rFonts w:eastAsiaTheme="minorHAnsi"/>
          <w:b w:val="0"/>
          <w:bCs w:val="0"/>
          <w:highlight w:val="white"/>
          <w:lang w:eastAsia="en-US"/>
        </w:rPr>
        <w:t xml:space="preserve">.</w:t>
      </w:r>
      <w:r>
        <w:rPr>
          <w:rFonts w:eastAsiaTheme="minorHAnsi"/>
          <w:b w:val="0"/>
          <w:bCs w:val="0"/>
          <w:highlight w:val="white"/>
          <w:lang w:eastAsia="en-US"/>
        </w:rPr>
        <w:t xml:space="preserve"> Р</w:t>
      </w:r>
      <w:r>
        <w:rPr>
          <w:rFonts w:eastAsiaTheme="minorHAnsi"/>
          <w:highlight w:val="white"/>
          <w:lang w:eastAsia="en-US"/>
        </w:rPr>
        <w:t xml:space="preserve">асчет прогнозного показателя</w:t>
      </w:r>
      <w:r>
        <w:rPr>
          <w:rFonts w:eastAsiaTheme="minorHAnsi"/>
          <w:highlight w:val="white"/>
          <w:lang w:eastAsia="en-US"/>
        </w:rPr>
        <w:t xml:space="preserve"> по коду доходов: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 w:firstLine="709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b/>
          <w:highlight w:val="white"/>
          <w:lang w:eastAsia="en-US"/>
        </w:rPr>
        <w:t xml:space="preserve">006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b/>
          <w:highlight w:val="white"/>
          <w:lang w:eastAsia="en-US"/>
        </w:rPr>
        <w:t xml:space="preserve">1 16 </w:t>
      </w:r>
      <w:r>
        <w:rPr>
          <w:rFonts w:eastAsiaTheme="minorHAnsi"/>
          <w:b/>
          <w:highlight w:val="white"/>
          <w:lang w:eastAsia="en-US"/>
        </w:rPr>
        <w:t xml:space="preserve">10021 02 0000 140</w:t>
      </w:r>
      <w:r>
        <w:rPr>
          <w:rFonts w:eastAsiaTheme="minorHAnsi"/>
          <w:highlight w:val="white"/>
          <w:lang w:eastAsia="en-US"/>
        </w:rPr>
        <w:t xml:space="preserve"> «Возмещение ущерба при возникновении страховых случаев, когда выгодоприобретателями выступают получатели средств бюджета субъекта Российской</w:t>
      </w:r>
      <w:r>
        <w:rPr>
          <w:rFonts w:asciiTheme="minorHAnsi" w:hAnsiTheme="minorHAnsi" w:eastAsiaTheme="minorHAnsi" w:cstheme="minorBidi"/>
          <w:sz w:val="22"/>
          <w:szCs w:val="22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Федерации» осуществляется методом усреднения на основании данных о фактическом поступлении по формуле: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center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(С/</w:t>
      </w:r>
      <w:r>
        <w:rPr>
          <w:rFonts w:eastAsiaTheme="minorHAnsi"/>
          <w:highlight w:val="white"/>
          <w:lang w:eastAsia="en-US"/>
        </w:rPr>
        <w:t xml:space="preserve">М) *</w:t>
      </w:r>
      <w:r>
        <w:rPr>
          <w:rFonts w:eastAsiaTheme="minorHAnsi"/>
          <w:highlight w:val="white"/>
          <w:lang w:eastAsia="en-US"/>
        </w:rPr>
        <w:t xml:space="preserve">12+/- F,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С </w:t>
      </w:r>
      <w:r>
        <w:rPr>
          <w:rFonts w:eastAsiaTheme="minorHAnsi"/>
          <w:highlight w:val="white"/>
          <w:lang w:eastAsia="en-US"/>
        </w:rPr>
        <w:t xml:space="preserve">– фактическое поступление доходов от возмещения ущерба при возникновении страховых случаев за 3 последних года, предшествующих году, в котором осуществляется планирование, или за весь период поступления данных доходов в случае, если он не превышает 3 года,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М – количество полных месяцев, вошедших в период, за который осуществлен расчет фактического поступления доходов от возмещения ущерба при возникновении страховых случаев,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+/- F - корректирующая сумма поступлений (увеличение или уменьшение прогноза поступления доходов), учитывающая фактическое поступление в областной бюджет Новосибирской области доходов за истекшие месяцы текущего финансового года, а </w:t>
      </w:r>
      <w:r>
        <w:rPr>
          <w:rFonts w:eastAsiaTheme="minorHAnsi"/>
          <w:highlight w:val="white"/>
          <w:lang w:eastAsia="en-US"/>
        </w:rPr>
        <w:t xml:space="preserve">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Прогноз поступлений составит: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b/>
          <w:bCs/>
          <w:highlight w:val="white"/>
        </w:rPr>
      </w:pPr>
      <w:r>
        <w:rPr>
          <w:rFonts w:eastAsiaTheme="minorHAnsi"/>
          <w:b/>
          <w:highlight w:val="white"/>
          <w:lang w:eastAsia="en-US"/>
        </w:rPr>
        <w:t xml:space="preserve">на 2026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bCs/>
          <w:highlight w:val="white"/>
          <w:lang w:eastAsia="en-US"/>
        </w:rPr>
        <w:t xml:space="preserve">14,</w:t>
      </w:r>
      <w:r>
        <w:rPr>
          <w:rFonts w:eastAsiaTheme="minorHAnsi"/>
          <w:b/>
          <w:bCs/>
          <w:highlight w:val="white"/>
          <w:lang w:eastAsia="en-US"/>
        </w:rPr>
        <w:t xml:space="preserve">4 </w:t>
      </w:r>
      <w:r>
        <w:rPr>
          <w:rFonts w:eastAsiaTheme="minorHAnsi"/>
          <w:b/>
          <w:bCs/>
          <w:highlight w:val="white"/>
          <w:lang w:eastAsia="en-US"/>
        </w:rPr>
        <w:t xml:space="preserve">тыс.</w:t>
      </w:r>
      <w:r>
        <w:rPr>
          <w:rFonts w:eastAsiaTheme="minorHAnsi"/>
          <w:b/>
          <w:bCs/>
          <w:highlight w:val="white"/>
          <w:lang w:eastAsia="en-US"/>
        </w:rPr>
        <w:t xml:space="preserve"> рублей</w:t>
      </w:r>
      <w:r>
        <w:rPr>
          <w:rFonts w:eastAsiaTheme="minorHAnsi"/>
          <w:b/>
          <w:bCs/>
          <w:highlight w:val="white"/>
        </w:rPr>
      </w:r>
      <w:r>
        <w:rPr>
          <w:rFonts w:eastAsiaTheme="minorHAnsi"/>
          <w:b/>
          <w:bCs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14,4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(43,2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43,2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14,4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2024 год - 17,3 тыс. руб., 2023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11,5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680" w:right="-144"/>
        <w:jc w:val="both"/>
        <w:rPr>
          <w:b/>
          <w:highlight w:val="white"/>
        </w:rPr>
      </w:pPr>
      <w:r>
        <w:rPr>
          <w:highlight w:val="white"/>
        </w:rPr>
        <w:t xml:space="preserve"> </w:t>
      </w:r>
      <w:r>
        <w:rPr>
          <w:b/>
          <w:highlight w:val="white"/>
        </w:rPr>
        <w:t xml:space="preserve">на 2027 год – 15,3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15,3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(46,1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46,1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2026 году - 14,4 тыс. руб.,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14,4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2024 год - 17,3 тыс. руб.,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right="-144"/>
        <w:rPr>
          <w:b/>
          <w:highlight w:val="white"/>
        </w:rPr>
      </w:pPr>
      <w:r>
        <w:rPr>
          <w:b/>
          <w:highlight w:val="white"/>
        </w:rPr>
        <w:t xml:space="preserve">на 2028 год – 14,5</w:t>
      </w:r>
      <w:r>
        <w:rPr>
          <w:b/>
          <w:highlight w:val="white"/>
        </w:rPr>
        <w:t xml:space="preserve">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14,5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(43,7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709" w:right="-144" w:hanging="709"/>
        <w:rPr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          </w:t>
      </w:r>
      <w:r>
        <w:rPr>
          <w:rFonts w:eastAsiaTheme="minorHAnsi"/>
          <w:highlight w:val="white"/>
          <w:lang w:eastAsia="en-US"/>
        </w:rPr>
        <w:t xml:space="preserve">46,1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2027 году - 15,3 тыс. руб., </w:t>
      </w:r>
      <w:r>
        <w:rPr>
          <w:rFonts w:eastAsiaTheme="minorHAnsi"/>
          <w:highlight w:val="white"/>
          <w:lang w:eastAsia="en-US"/>
        </w:rPr>
        <w:t xml:space="preserve">     прогнозное в </w:t>
      </w:r>
      <w:r>
        <w:rPr>
          <w:highlight w:val="white"/>
        </w:rPr>
        <w:t xml:space="preserve">2026 - 14,4 тыс. руб., </w:t>
      </w:r>
      <w:r>
        <w:rPr>
          <w:rFonts w:eastAsiaTheme="minorHAnsi"/>
          <w:highlight w:val="white"/>
          <w:lang w:eastAsia="en-US"/>
        </w:rPr>
        <w:t xml:space="preserve">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14,4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0" w:right="-144"/>
        <w:rPr>
          <w:highlight w:val="none"/>
        </w:rPr>
      </w:pPr>
      <w:r>
        <w:rPr>
          <w:highlight w:val="none"/>
        </w:rPr>
        <w:t xml:space="preserve">          </w:t>
      </w:r>
      <w:r>
        <w:rPr>
          <w:highlight w:val="none"/>
        </w:rPr>
      </w:r>
      <w:r>
        <w:rPr>
          <w:highlight w:val="none"/>
        </w:rPr>
      </w:r>
    </w:p>
    <w:p>
      <w:pPr>
        <w:pStyle w:val="835"/>
        <w:keepLines/>
        <w:ind w:left="709" w:right="-144" w:hanging="709"/>
        <w:rPr>
          <w:highlight w:val="white"/>
        </w:rPr>
      </w:pPr>
      <w:r>
        <w:rPr>
          <w:highlight w:val="none"/>
        </w:rPr>
        <w:t xml:space="preserve">          </w:t>
      </w:r>
      <w:r>
        <w:rPr>
          <w:b/>
          <w:bCs/>
          <w:highlight w:val="white"/>
        </w:rPr>
        <w:t xml:space="preserve">1</w:t>
      </w:r>
      <w:r>
        <w:rPr>
          <w:b/>
          <w:bCs/>
          <w:highlight w:val="white"/>
        </w:rPr>
        <w:t xml:space="preserve">3</w:t>
      </w:r>
      <w:r>
        <w:rPr>
          <w:highlight w:val="white"/>
        </w:rPr>
        <w:t xml:space="preserve">. Расчет прогнозного показателя по коду доходов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keepLines/>
        <w:ind w:left="709" w:right="-144" w:hanging="709"/>
        <w:rPr>
          <w:b/>
          <w:bCs/>
          <w:highlight w:val="white"/>
        </w:rPr>
      </w:pPr>
      <w:r>
        <w:rPr>
          <w:highlight w:val="white"/>
        </w:rPr>
        <w:t xml:space="preserve">          </w:t>
      </w:r>
      <w:r>
        <w:rPr>
          <w:b/>
          <w:bCs/>
          <w:highlight w:val="white"/>
        </w:rPr>
        <w:t xml:space="preserve">006  1 13  02992 02 0000 130 «</w:t>
      </w:r>
      <w:r>
        <w:rPr>
          <w:b/>
          <w:bCs/>
          <w:highlight w:val="white"/>
        </w:rPr>
        <w:t xml:space="preserve">Прочие доходы от компенсации затрат бюджетов          субъектов Российской Федерации</w:t>
      </w:r>
      <w:r>
        <w:rPr>
          <w:b/>
          <w:bCs/>
          <w:highlight w:val="white"/>
        </w:rPr>
        <w:t xml:space="preserve">»  </w:t>
      </w:r>
      <w:r>
        <w:rPr>
          <w:b/>
          <w:bCs/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осущест</w:t>
      </w:r>
      <w:r>
        <w:rPr>
          <w:rFonts w:eastAsiaTheme="minorHAnsi"/>
          <w:highlight w:val="white"/>
          <w:lang w:eastAsia="en-US"/>
        </w:rPr>
        <w:t xml:space="preserve">вляется методом усреднения на основании данных о фактическом поступлении по формуле: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spacing w:line="276" w:lineRule="auto"/>
        <w:ind w:left="680" w:right="-144"/>
        <w:jc w:val="center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(К/</w:t>
      </w:r>
      <w:r>
        <w:rPr>
          <w:rFonts w:eastAsiaTheme="minorHAnsi"/>
          <w:highlight w:val="white"/>
          <w:lang w:eastAsia="en-US"/>
        </w:rPr>
        <w:t xml:space="preserve">М) *</w:t>
      </w:r>
      <w:r>
        <w:rPr>
          <w:rFonts w:eastAsiaTheme="minorHAnsi"/>
          <w:highlight w:val="white"/>
          <w:lang w:eastAsia="en-US"/>
        </w:rPr>
        <w:t xml:space="preserve">12+/- F,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keepLines/>
        <w:ind w:left="709" w:right="-144" w:hanging="709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b/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К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– фактическо</w:t>
      </w:r>
      <w:r>
        <w:rPr>
          <w:rFonts w:eastAsiaTheme="minorHAnsi"/>
          <w:highlight w:val="white"/>
          <w:lang w:eastAsia="en-US"/>
        </w:rPr>
        <w:t xml:space="preserve">е поступление прочих доходов от компенсации затрат бюджетов субъектов Российской Федерации за 3 последних года, предшествующих году, в котором осуществляется планирование, или за весь период поступления данных доходов в случае, если он не превышает 3 года,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М – количество полных месяцев, вошедших в период, за который осуществлен расчет фактического поступления доходов от возмещения ущерба при возникновении страховых случаев,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+/- F - корректирующая сумма поступлений (увеличение или уменьшение прогноза поступления доходов), учитывающая фактическое поступление в областной бюджет Новосибирской области доходов за истекшие месяцы текущего финансового года, а </w:t>
      </w:r>
      <w:r>
        <w:rPr>
          <w:rFonts w:eastAsiaTheme="minorHAnsi"/>
          <w:highlight w:val="white"/>
          <w:lang w:eastAsia="en-US"/>
        </w:rPr>
        <w:t xml:space="preserve">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Прогноз поступлений составит: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b/>
          <w:bCs/>
          <w:highlight w:val="white"/>
        </w:rPr>
      </w:pPr>
      <w:r>
        <w:rPr>
          <w:rFonts w:eastAsiaTheme="minorHAnsi"/>
          <w:b/>
          <w:highlight w:val="white"/>
          <w:lang w:eastAsia="en-US"/>
        </w:rPr>
        <w:t xml:space="preserve">на 2026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bCs/>
          <w:highlight w:val="white"/>
          <w:lang w:eastAsia="en-US"/>
        </w:rPr>
        <w:t xml:space="preserve">605,0 </w:t>
      </w:r>
      <w:r>
        <w:rPr>
          <w:rFonts w:eastAsiaTheme="minorHAnsi"/>
          <w:b/>
          <w:bCs/>
          <w:highlight w:val="white"/>
          <w:lang w:eastAsia="en-US"/>
        </w:rPr>
        <w:t xml:space="preserve">тыс.</w:t>
      </w:r>
      <w:r>
        <w:rPr>
          <w:rFonts w:eastAsiaTheme="minorHAnsi"/>
          <w:b/>
          <w:bCs/>
          <w:highlight w:val="white"/>
          <w:lang w:eastAsia="en-US"/>
        </w:rPr>
        <w:t xml:space="preserve"> рублей</w:t>
      </w:r>
      <w:r>
        <w:rPr>
          <w:rFonts w:eastAsiaTheme="minorHAnsi"/>
          <w:b/>
          <w:bCs/>
          <w:highlight w:val="white"/>
        </w:rPr>
      </w:r>
      <w:r>
        <w:rPr>
          <w:rFonts w:eastAsiaTheme="minorHAnsi"/>
          <w:b/>
          <w:bCs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605,,0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(1 815,1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1 815,1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269,0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тыс. руб.</w:t>
      </w:r>
      <w:r>
        <w:rPr>
          <w:rFonts w:eastAsiaTheme="minorHAnsi"/>
          <w:highlight w:val="white"/>
          <w:lang w:eastAsia="en-US"/>
        </w:rPr>
        <w:t xml:space="preserve">; 2024 год - 675,6 тыс. руб., 2023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highlight w:val="white"/>
          <w:lang w:eastAsia="en-US"/>
        </w:rPr>
        <w:t xml:space="preserve">870,5 тыс. руб.</w:t>
      </w:r>
      <w:r>
        <w:rPr>
          <w:rFonts w:eastAsiaTheme="minorHAnsi"/>
          <w:highlight w:val="white"/>
          <w:lang w:eastAsia="en-US"/>
        </w:rPr>
        <w:t xml:space="preserve">;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680" w:right="-144"/>
        <w:jc w:val="both"/>
        <w:rPr>
          <w:b/>
          <w:highlight w:val="white"/>
        </w:rPr>
      </w:pPr>
      <w:r>
        <w:rPr>
          <w:highlight w:val="white"/>
        </w:rPr>
        <w:t xml:space="preserve"> </w:t>
      </w:r>
      <w:r>
        <w:rPr>
          <w:b/>
          <w:highlight w:val="white"/>
        </w:rPr>
        <w:t xml:space="preserve">на 2027 год – 516,5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516,5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(1 549,6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1 549,6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2026 году - 605,0 тыс. руб.,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269,0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2024 год - 675,6 тыс. руб.,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right="-144"/>
        <w:rPr>
          <w:b/>
          <w:highlight w:val="white"/>
        </w:rPr>
      </w:pPr>
      <w:r>
        <w:rPr>
          <w:b/>
          <w:highlight w:val="white"/>
        </w:rPr>
        <w:t xml:space="preserve">на 2028 год – 679,0</w:t>
      </w:r>
      <w:r>
        <w:rPr>
          <w:b/>
          <w:highlight w:val="white"/>
        </w:rPr>
        <w:t xml:space="preserve">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463,5 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(1 390,5 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709" w:right="-144" w:hanging="709"/>
        <w:rPr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          </w:t>
      </w:r>
      <w:r>
        <w:rPr>
          <w:rFonts w:eastAsiaTheme="minorHAnsi"/>
          <w:highlight w:val="white"/>
          <w:lang w:eastAsia="en-US"/>
        </w:rPr>
        <w:t xml:space="preserve">1 390,5 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2027 году - 516,5 тыс. руб., </w:t>
      </w:r>
      <w:r>
        <w:rPr>
          <w:rFonts w:eastAsiaTheme="minorHAnsi"/>
          <w:highlight w:val="white"/>
          <w:lang w:eastAsia="en-US"/>
        </w:rPr>
        <w:t xml:space="preserve">     прогнозное в </w:t>
      </w:r>
      <w:r>
        <w:rPr>
          <w:highlight w:val="white"/>
        </w:rPr>
        <w:t xml:space="preserve">2026 - 605,0 тыс. руб., </w:t>
      </w:r>
      <w:r>
        <w:rPr>
          <w:rFonts w:eastAsiaTheme="minorHAnsi"/>
          <w:highlight w:val="white"/>
          <w:lang w:eastAsia="en-US"/>
        </w:rPr>
        <w:t xml:space="preserve">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269,0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709" w:right="-144" w:hanging="709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  <w:r>
        <w:rPr>
          <w:highlight w:val="green"/>
        </w:rPr>
      </w:r>
    </w:p>
    <w:p>
      <w:pPr>
        <w:pStyle w:val="835"/>
        <w:ind w:left="709" w:right="-144" w:hanging="709"/>
        <w:rPr>
          <w:highlight w:val="none"/>
        </w:rPr>
      </w:pPr>
      <w:r>
        <w:rPr>
          <w:highlight w:val="none"/>
        </w:rPr>
        <w:t xml:space="preserve">          </w:t>
      </w:r>
      <w:r>
        <w:rPr>
          <w:b/>
          <w:bCs/>
          <w:highlight w:val="none"/>
        </w:rPr>
        <w:t xml:space="preserve">14.</w:t>
      </w:r>
      <w:r>
        <w:rPr>
          <w:highlight w:val="none"/>
        </w:rPr>
        <w:t xml:space="preserve"> </w:t>
      </w:r>
      <w:r>
        <w:rPr>
          <w:highlight w:val="none"/>
        </w:rPr>
        <w:t xml:space="preserve">Расчет прогнозного показателя по коду доходов</w:t>
      </w:r>
      <w:r>
        <w:rPr>
          <w:highlight w:val="none"/>
        </w:rPr>
      </w:r>
      <w:r>
        <w:rPr>
          <w:highlight w:val="none"/>
        </w:rPr>
      </w:r>
    </w:p>
    <w:p>
      <w:pPr>
        <w:pStyle w:val="835"/>
        <w:keepLines/>
        <w:ind w:left="709" w:right="-144" w:hanging="709"/>
        <w:rPr>
          <w:b/>
          <w:bCs/>
          <w:highlight w:val="white"/>
        </w:rPr>
      </w:pPr>
      <w:r>
        <w:rPr>
          <w:highlight w:val="none"/>
        </w:rPr>
        <w:t xml:space="preserve">          </w:t>
      </w:r>
      <w:r>
        <w:rPr>
          <w:b/>
          <w:bCs/>
          <w:highlight w:val="none"/>
        </w:rPr>
        <w:t xml:space="preserve">006 1 16 07090 02 0000 140</w:t>
      </w:r>
      <w:r>
        <w:rPr>
          <w:b/>
          <w:bCs/>
          <w:highlight w:val="none"/>
        </w:rPr>
        <w:t xml:space="preserve"> «</w:t>
      </w:r>
      <w:r>
        <w:rPr>
          <w:b/>
          <w:bCs/>
          <w:highlight w:val="none"/>
        </w:rPr>
        <w:t xml:space="preserve">Штрафы, неустойки, пени, уплаченные в случае просрочки исполнения поставщиком (подрядчиком, исполнителем) обязательств,предусмотренных государственным контрактом, заключенным государственным органом субъекта Российской Федерации, казенным учреждением субъе</w:t>
      </w:r>
      <w:r>
        <w:rPr>
          <w:b/>
          <w:bCs/>
          <w:highlight w:val="none"/>
        </w:rPr>
        <w:t xml:space="preserve">кта Российской Федерации</w:t>
      </w:r>
      <w:r>
        <w:rPr>
          <w:b/>
          <w:bCs/>
          <w:highlight w:val="none"/>
        </w:rPr>
        <w:t xml:space="preserve">»</w:t>
      </w:r>
      <w:r>
        <w:rPr>
          <w:rFonts w:eastAsiaTheme="minorHAnsi"/>
          <w:highlight w:val="white"/>
          <w:lang w:eastAsia="en-US"/>
        </w:rPr>
        <w:t xml:space="preserve">осуществляется методом усреднения на основании данных о фактическом поступлении по формуле:</w:t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spacing w:line="276" w:lineRule="auto"/>
        <w:ind w:left="680" w:right="-144"/>
        <w:jc w:val="center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(Ш/</w:t>
      </w:r>
      <w:r>
        <w:rPr>
          <w:rFonts w:eastAsiaTheme="minorHAnsi"/>
          <w:highlight w:val="white"/>
          <w:lang w:eastAsia="en-US"/>
        </w:rPr>
        <w:t xml:space="preserve">М) *</w:t>
      </w:r>
      <w:r>
        <w:rPr>
          <w:rFonts w:eastAsiaTheme="minorHAnsi"/>
          <w:highlight w:val="white"/>
          <w:lang w:eastAsia="en-US"/>
        </w:rPr>
        <w:t xml:space="preserve">12+/- F,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keepLines/>
        <w:ind w:left="709" w:right="-144" w:hanging="709"/>
        <w:rPr>
          <w:b/>
          <w:bCs/>
          <w:highlight w:val="white"/>
        </w:rPr>
      </w:pPr>
      <w:r>
        <w:rPr>
          <w:b/>
          <w:bCs/>
          <w:highlight w:val="white"/>
        </w:rPr>
      </w:r>
      <w:r>
        <w:rPr>
          <w:b/>
          <w:bCs/>
          <w:highlight w:val="white"/>
        </w:rPr>
      </w:r>
      <w:r>
        <w:rPr>
          <w:b/>
          <w:bCs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b/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Ш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– фактическо</w:t>
      </w:r>
      <w:r>
        <w:rPr>
          <w:rFonts w:eastAsiaTheme="minorHAnsi"/>
          <w:highlight w:val="white"/>
          <w:lang w:eastAsia="en-US"/>
        </w:rPr>
        <w:t xml:space="preserve">е поступление прочих денежных взысканий за 3 последних года, предшествующих году, в котором осуществляется планирование, или за весь период поступления данных доходов в случае, если он не превышает 3 года,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М – количество полных месяцев, вошедших в период, за который осуществлен расчет фактического поступления доходов от возмещения ущерба при возникновении страховых случаев,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+/- F - корректирующая сумма поступлений (увеличение или уменьшение прогноза поступления доходов), учитывающая фактическое поступление в областной бюджет Новосибирской области доходов за истекшие месяцы текущего финансового года, а </w:t>
      </w:r>
      <w:r>
        <w:rPr>
          <w:rFonts w:eastAsiaTheme="minorHAnsi"/>
          <w:highlight w:val="white"/>
          <w:lang w:eastAsia="en-US"/>
        </w:rPr>
        <w:t xml:space="preserve">также ожидаемую к взысканию дебиторскую задолженность по доходам, получаемую на основании данных о планирующемся зачислении.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Прогноз поступлений составит: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b/>
          <w:bCs/>
          <w:highlight w:val="white"/>
        </w:rPr>
      </w:pPr>
      <w:r>
        <w:rPr>
          <w:rFonts w:eastAsiaTheme="minorHAnsi"/>
          <w:b/>
          <w:highlight w:val="white"/>
          <w:lang w:eastAsia="en-US"/>
        </w:rPr>
        <w:t xml:space="preserve">на 2026 год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b/>
          <w:bCs/>
          <w:highlight w:val="white"/>
          <w:lang w:eastAsia="en-US"/>
        </w:rPr>
        <w:t xml:space="preserve">139,4 </w:t>
      </w:r>
      <w:r>
        <w:rPr>
          <w:rFonts w:eastAsiaTheme="minorHAnsi"/>
          <w:b/>
          <w:bCs/>
          <w:highlight w:val="white"/>
          <w:lang w:eastAsia="en-US"/>
        </w:rPr>
        <w:t xml:space="preserve">тыс.</w:t>
      </w:r>
      <w:r>
        <w:rPr>
          <w:rFonts w:eastAsiaTheme="minorHAnsi"/>
          <w:b/>
          <w:bCs/>
          <w:highlight w:val="white"/>
          <w:lang w:eastAsia="en-US"/>
        </w:rPr>
        <w:t xml:space="preserve"> рублей</w:t>
      </w:r>
      <w:r>
        <w:rPr>
          <w:rFonts w:eastAsiaTheme="minorHAnsi"/>
          <w:b/>
          <w:bCs/>
          <w:highlight w:val="white"/>
        </w:rPr>
      </w:r>
      <w:r>
        <w:rPr>
          <w:rFonts w:eastAsiaTheme="minorHAnsi"/>
          <w:b/>
          <w:bCs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139,4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(418,3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418,3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highlight w:val="white"/>
          <w:lang w:eastAsia="en-US"/>
        </w:rPr>
        <w:t xml:space="preserve">54,2 </w:t>
      </w:r>
      <w:r>
        <w:rPr>
          <w:rFonts w:eastAsiaTheme="minorHAnsi"/>
          <w:highlight w:val="white"/>
          <w:lang w:eastAsia="en-US"/>
        </w:rPr>
        <w:t xml:space="preserve">тыс. руб.</w:t>
      </w:r>
      <w:r>
        <w:rPr>
          <w:rFonts w:eastAsiaTheme="minorHAnsi"/>
          <w:highlight w:val="white"/>
          <w:lang w:eastAsia="en-US"/>
        </w:rPr>
        <w:t xml:space="preserve">; 2024 год - 361,2 тыс. руб., 2023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</w:t>
      </w:r>
      <w:r>
        <w:rPr>
          <w:rFonts w:eastAsiaTheme="minorHAnsi"/>
          <w:highlight w:val="white"/>
          <w:lang w:eastAsia="en-US"/>
        </w:rPr>
        <w:t xml:space="preserve"> – </w:t>
      </w:r>
      <w:r>
        <w:rPr>
          <w:rFonts w:eastAsiaTheme="minorHAnsi"/>
          <w:highlight w:val="white"/>
          <w:lang w:eastAsia="en-US"/>
        </w:rPr>
        <w:t xml:space="preserve">2,9 тыс. руб.</w:t>
      </w:r>
      <w:r>
        <w:rPr>
          <w:rFonts w:eastAsiaTheme="minorHAnsi"/>
          <w:highlight w:val="white"/>
          <w:lang w:eastAsia="en-US"/>
        </w:rPr>
        <w:t xml:space="preserve">;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680" w:right="-144"/>
        <w:jc w:val="both"/>
        <w:rPr>
          <w:b/>
          <w:highlight w:val="white"/>
        </w:rPr>
      </w:pPr>
      <w:r>
        <w:rPr>
          <w:highlight w:val="white"/>
        </w:rPr>
        <w:t xml:space="preserve"> </w:t>
      </w:r>
      <w:r>
        <w:rPr>
          <w:b/>
          <w:highlight w:val="white"/>
        </w:rPr>
        <w:t xml:space="preserve">на 2027 год – 184,9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184,9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(554,8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rFonts w:eastAsiaTheme="minorHAnsi"/>
          <w:highlight w:val="white"/>
          <w:lang w:eastAsia="en-US"/>
        </w:rPr>
      </w:r>
      <w:r>
        <w:rPr>
          <w:rFonts w:eastAsiaTheme="minorHAnsi"/>
          <w:highlight w:val="white"/>
          <w:lang w:eastAsia="en-US"/>
        </w:rPr>
        <w:t xml:space="preserve">554,8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2026 году - 139,4 тыс. руб., ожидаемое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54,2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rFonts w:eastAsiaTheme="minorHAnsi"/>
          <w:highlight w:val="white"/>
          <w:lang w:eastAsia="en-US"/>
        </w:rPr>
        <w:t xml:space="preserve">; 2024 год - 361,2 тыс. руб., 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right="-144"/>
        <w:rPr>
          <w:b/>
          <w:highlight w:val="white"/>
        </w:rPr>
      </w:pPr>
      <w:r>
        <w:rPr>
          <w:b/>
          <w:highlight w:val="white"/>
        </w:rPr>
        <w:t xml:space="preserve">на 2028 год – 126,1</w:t>
      </w:r>
      <w:r>
        <w:rPr>
          <w:b/>
          <w:highlight w:val="white"/>
        </w:rPr>
        <w:t xml:space="preserve"> тыс. рублей</w:t>
      </w:r>
      <w:r>
        <w:rPr>
          <w:b/>
          <w:highlight w:val="white"/>
        </w:rPr>
      </w:r>
      <w:r>
        <w:rPr>
          <w:b/>
          <w:highlight w:val="white"/>
        </w:rPr>
      </w:r>
    </w:p>
    <w:p>
      <w:pPr>
        <w:spacing w:line="276" w:lineRule="auto"/>
        <w:ind w:left="680" w:right="-144"/>
        <w:jc w:val="both"/>
        <w:rPr>
          <w:rFonts w:eastAsiaTheme="minorHAnsi"/>
          <w:highlight w:val="white"/>
        </w:rPr>
      </w:pPr>
      <w:r>
        <w:rPr>
          <w:highlight w:val="white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126,1 </w:t>
      </w:r>
      <w:r>
        <w:rPr>
          <w:rFonts w:eastAsiaTheme="minorHAnsi"/>
          <w:highlight w:val="white"/>
          <w:lang w:eastAsia="en-US"/>
        </w:rPr>
        <w:t xml:space="preserve">=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(378,5</w:t>
      </w:r>
      <w:r>
        <w:rPr>
          <w:rFonts w:eastAsiaTheme="minorHAnsi"/>
          <w:highlight w:val="white"/>
          <w:lang w:eastAsia="en-US"/>
        </w:rPr>
        <w:t xml:space="preserve">/</w:t>
      </w:r>
      <w:r>
        <w:rPr>
          <w:rFonts w:eastAsiaTheme="minorHAnsi"/>
          <w:highlight w:val="white"/>
          <w:lang w:eastAsia="en-US"/>
        </w:rPr>
        <w:t xml:space="preserve">36) *</w:t>
      </w:r>
      <w:r>
        <w:rPr>
          <w:rFonts w:eastAsiaTheme="minorHAnsi"/>
          <w:highlight w:val="white"/>
          <w:lang w:eastAsia="en-US"/>
        </w:rPr>
        <w:t xml:space="preserve">12 +/– 0,00, где:</w:t>
      </w:r>
      <w:r>
        <w:rPr>
          <w:rFonts w:eastAsiaTheme="minorHAnsi"/>
          <w:highlight w:val="white"/>
        </w:rPr>
      </w:r>
      <w:r>
        <w:rPr>
          <w:rFonts w:eastAsiaTheme="minorHAnsi"/>
          <w:highlight w:val="white"/>
        </w:rPr>
      </w:r>
    </w:p>
    <w:p>
      <w:pPr>
        <w:pStyle w:val="835"/>
        <w:ind w:left="709" w:right="-144" w:hanging="709"/>
        <w:rPr>
          <w:highlight w:val="white"/>
        </w:rPr>
      </w:pPr>
      <w:r>
        <w:rPr>
          <w:rFonts w:eastAsiaTheme="minorHAnsi"/>
          <w:highlight w:val="white"/>
          <w:lang w:eastAsia="en-US"/>
        </w:rPr>
        <w:t xml:space="preserve">      </w:t>
      </w:r>
      <w:r>
        <w:rPr>
          <w:rFonts w:eastAsiaTheme="minorHAnsi"/>
          <w:highlight w:val="white"/>
          <w:lang w:eastAsia="en-US"/>
        </w:rPr>
        <w:t xml:space="preserve">    </w:t>
      </w:r>
      <w:r>
        <w:rPr>
          <w:rFonts w:eastAsiaTheme="minorHAnsi"/>
          <w:highlight w:val="white"/>
          <w:lang w:eastAsia="en-US"/>
        </w:rPr>
        <w:t xml:space="preserve">378,5 тыс. руб.</w:t>
      </w:r>
      <w:r>
        <w:rPr>
          <w:rFonts w:eastAsiaTheme="minorHAnsi"/>
          <w:highlight w:val="white"/>
          <w:lang w:eastAsia="en-US"/>
        </w:rPr>
        <w:t xml:space="preserve"> –поступление </w:t>
      </w:r>
      <w:r>
        <w:rPr>
          <w:rFonts w:eastAsiaTheme="minorHAnsi"/>
          <w:highlight w:val="white"/>
          <w:lang w:eastAsia="en-US"/>
        </w:rPr>
        <w:t xml:space="preserve"> за 3 года: прогнозное в 2027 году - 184,9  тыс. руб., </w:t>
      </w:r>
      <w:r>
        <w:rPr>
          <w:rFonts w:eastAsiaTheme="minorHAnsi"/>
          <w:highlight w:val="white"/>
          <w:lang w:eastAsia="en-US"/>
        </w:rPr>
        <w:t xml:space="preserve">     прогнозное в </w:t>
      </w:r>
      <w:r>
        <w:rPr>
          <w:highlight w:val="white"/>
        </w:rPr>
        <w:t xml:space="preserve">2026 - 139,4 тыс. руб., </w:t>
      </w:r>
      <w:r>
        <w:rPr>
          <w:rFonts w:eastAsiaTheme="minorHAnsi"/>
          <w:highlight w:val="white"/>
          <w:lang w:eastAsia="en-US"/>
        </w:rPr>
        <w:t xml:space="preserve">ожи</w:t>
      </w:r>
      <w:r>
        <w:rPr>
          <w:rFonts w:eastAsiaTheme="minorHAnsi"/>
          <w:highlight w:val="white"/>
          <w:lang w:eastAsia="en-US"/>
        </w:rPr>
        <w:t xml:space="preserve">д</w:t>
      </w:r>
      <w:r>
        <w:rPr>
          <w:rFonts w:eastAsiaTheme="minorHAnsi"/>
          <w:highlight w:val="white"/>
          <w:lang w:eastAsia="en-US"/>
        </w:rPr>
        <w:t xml:space="preserve">аемое в 2025</w:t>
      </w:r>
      <w:r>
        <w:rPr>
          <w:rFonts w:eastAsiaTheme="minorHAnsi"/>
          <w:highlight w:val="white"/>
          <w:lang w:eastAsia="en-US"/>
        </w:rPr>
        <w:t xml:space="preserve"> </w:t>
      </w:r>
      <w:r>
        <w:rPr>
          <w:rFonts w:eastAsiaTheme="minorHAnsi"/>
          <w:highlight w:val="white"/>
          <w:lang w:eastAsia="en-US"/>
        </w:rPr>
        <w:t xml:space="preserve">г</w:t>
      </w:r>
      <w:r>
        <w:rPr>
          <w:rFonts w:eastAsiaTheme="minorHAnsi"/>
          <w:highlight w:val="white"/>
          <w:lang w:eastAsia="en-US"/>
        </w:rPr>
        <w:t xml:space="preserve">оду</w:t>
      </w:r>
      <w:r>
        <w:rPr>
          <w:rFonts w:eastAsiaTheme="minorHAnsi"/>
          <w:highlight w:val="white"/>
          <w:lang w:eastAsia="en-US"/>
        </w:rPr>
        <w:t xml:space="preserve"> – 54,2</w:t>
      </w:r>
      <w:r>
        <w:rPr>
          <w:rFonts w:eastAsiaTheme="minorHAnsi"/>
          <w:highlight w:val="white"/>
          <w:lang w:eastAsia="en-US"/>
        </w:rPr>
        <w:t xml:space="preserve"> тыс. руб.</w:t>
      </w:r>
      <w:r>
        <w:rPr>
          <w:highlight w:val="white"/>
        </w:rPr>
      </w:r>
      <w:r>
        <w:rPr>
          <w:highlight w:val="white"/>
        </w:rPr>
      </w:r>
    </w:p>
    <w:p>
      <w:pPr>
        <w:pStyle w:val="835"/>
        <w:ind w:left="709" w:right="-144" w:hanging="709"/>
        <w:rPr>
          <w:highlight w:val="green"/>
        </w:rPr>
      </w:pPr>
      <w:r>
        <w:rPr>
          <w:highlight w:val="green"/>
        </w:rPr>
      </w:r>
      <w:r>
        <w:rPr>
          <w:highlight w:val="green"/>
        </w:rPr>
      </w:r>
    </w:p>
    <w:tbl>
      <w:tblPr>
        <w:tblStyle w:val="834"/>
        <w:tblW w:w="0" w:type="auto"/>
        <w:tblLook w:val="04A0" w:firstRow="1" w:lastRow="0" w:firstColumn="1" w:lastColumn="0" w:noHBand="0" w:noVBand="1"/>
      </w:tblPr>
      <w:tblGrid>
        <w:gridCol w:w="5031"/>
        <w:gridCol w:w="5031"/>
      </w:tblGrid>
      <w:tr>
        <w:trPr>
          <w:trHeight w:val="1263"/>
        </w:trPr>
        <w:tblPrEx/>
        <w:tc>
          <w:tcPr>
            <w:tcW w:w="50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835"/>
              <w:suppressLineNumbers w:val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contextualSpacing/>
              <w:jc w:val="left"/>
              <w:rPr>
                <w:highlight w:val="green"/>
              </w:rPr>
            </w:pPr>
            <w:r>
              <w:rPr>
                <w:highlight w:val="none"/>
              </w:rPr>
              <w:t xml:space="preserve">Управляющий делами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W w:w="50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835"/>
              <w:suppressLineNumbers w:val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contextualSpacing/>
              <w:jc w:val="right"/>
              <w:rPr>
                <w:highlight w:val="green"/>
              </w:rPr>
            </w:pPr>
            <w:r>
              <w:rPr>
                <w:highlight w:val="none"/>
              </w:rPr>
              <w:t xml:space="preserve">Манев В.Г.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</w:tr>
      <w:tr>
        <w:trPr>
          <w:trHeight w:val="2216"/>
        </w:trPr>
        <w:tblPrEx/>
        <w:tc>
          <w:tcPr>
            <w:tcW w:w="50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835"/>
              <w:suppressLineNumbers w:val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contextualSpacing/>
              <w:jc w:val="left"/>
              <w:rPr>
                <w:highlight w:val="green"/>
              </w:rPr>
            </w:pPr>
            <w:r>
              <w:rPr>
                <w:highlight w:val="none"/>
              </w:rPr>
              <w:t xml:space="preserve">Главный бухгалтер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  <w:tc>
          <w:tcPr>
            <w:tcW w:w="5031" w:type="dxa"/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noWrap w:val="false"/>
            <w:textDirection w:val="lrTb"/>
          </w:tcPr>
          <w:p>
            <w:pPr>
              <w:pStyle w:val="835"/>
              <w:suppressLineNumbers w:val="0"/>
              <w:pBdr>
                <w:top w:val="none" w:color="000000" w:sz="4" w:space="0"/>
                <w:left w:val="none" w:color="000000" w:sz="4" w:space="0"/>
                <w:bottom w:val="none" w:color="000000" w:sz="4" w:space="0"/>
                <w:right w:val="none" w:color="000000" w:sz="4" w:space="0"/>
                <w:between w:val="none" w:color="000000" w:sz="4" w:space="0"/>
              </w:pBdr>
              <w:contextualSpacing/>
              <w:jc w:val="right"/>
              <w:rPr>
                <w:highlight w:val="green"/>
              </w:rPr>
            </w:pPr>
            <w:r>
              <w:rPr>
                <w:highlight w:val="none"/>
              </w:rPr>
              <w:t xml:space="preserve">Е.И. Гавриленко</w:t>
            </w:r>
            <w:r>
              <w:rPr>
                <w:highlight w:val="green"/>
              </w:rPr>
            </w:r>
            <w:r>
              <w:rPr>
                <w:highlight w:val="green"/>
              </w:rPr>
            </w:r>
          </w:p>
        </w:tc>
      </w:tr>
    </w:tbl>
    <w:p>
      <w:pPr>
        <w:pStyle w:val="835"/>
        <w:ind w:left="709" w:right="-144" w:hanging="709"/>
        <w:rPr>
          <w:highlight w:val="green"/>
        </w:rPr>
      </w:pPr>
      <w:r>
        <w:rPr>
          <w:b/>
          <w:bCs/>
          <w:highlight w:val="none"/>
        </w:rPr>
      </w:r>
      <w:r>
        <w:rPr>
          <w:highlight w:val="green"/>
        </w:rPr>
      </w:r>
      <w:r>
        <w:rPr>
          <w:highlight w:val="green"/>
        </w:rPr>
      </w:r>
    </w:p>
    <w:sectPr>
      <w:footnotePr/>
      <w:endnotePr/>
      <w:type w:val="nextPage"/>
      <w:pgSz w:w="11906" w:h="16838" w:orient="portrait"/>
      <w:pgMar w:top="851" w:right="851" w:bottom="1134" w:left="993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atangChe">
    <w:panose1 w:val="02010609060101010101"/>
  </w:font>
  <w:font w:name="Tahoma">
    <w:panose1 w:val="020B0604030504040204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54">
    <w:name w:val="Heading 1"/>
    <w:basedOn w:val="830"/>
    <w:next w:val="830"/>
    <w:link w:val="655"/>
    <w:uiPriority w:val="9"/>
    <w:qFormat/>
    <w:pPr>
      <w:keepNext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55">
    <w:name w:val="Heading 1 Char"/>
    <w:basedOn w:val="831"/>
    <w:link w:val="654"/>
    <w:uiPriority w:val="9"/>
    <w:rPr>
      <w:rFonts w:ascii="Arial" w:hAnsi="Arial" w:eastAsia="Arial" w:cs="Arial"/>
      <w:sz w:val="40"/>
      <w:szCs w:val="40"/>
    </w:rPr>
  </w:style>
  <w:style w:type="paragraph" w:styleId="656">
    <w:name w:val="Heading 2"/>
    <w:basedOn w:val="830"/>
    <w:next w:val="830"/>
    <w:link w:val="657"/>
    <w:uiPriority w:val="9"/>
    <w:unhideWhenUsed/>
    <w:qFormat/>
    <w:pPr>
      <w:keepNext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57">
    <w:name w:val="Heading 2 Char"/>
    <w:basedOn w:val="831"/>
    <w:link w:val="656"/>
    <w:uiPriority w:val="9"/>
    <w:rPr>
      <w:rFonts w:ascii="Arial" w:hAnsi="Arial" w:eastAsia="Arial" w:cs="Arial"/>
      <w:sz w:val="34"/>
    </w:rPr>
  </w:style>
  <w:style w:type="paragraph" w:styleId="658">
    <w:name w:val="Heading 3"/>
    <w:basedOn w:val="830"/>
    <w:next w:val="830"/>
    <w:link w:val="659"/>
    <w:uiPriority w:val="9"/>
    <w:unhideWhenUsed/>
    <w:qFormat/>
    <w:pPr>
      <w:keepNext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59">
    <w:name w:val="Heading 3 Char"/>
    <w:basedOn w:val="831"/>
    <w:link w:val="658"/>
    <w:uiPriority w:val="9"/>
    <w:rPr>
      <w:rFonts w:ascii="Arial" w:hAnsi="Arial" w:eastAsia="Arial" w:cs="Arial"/>
      <w:sz w:val="30"/>
      <w:szCs w:val="30"/>
    </w:rPr>
  </w:style>
  <w:style w:type="paragraph" w:styleId="660">
    <w:name w:val="Heading 4"/>
    <w:basedOn w:val="830"/>
    <w:next w:val="830"/>
    <w:link w:val="661"/>
    <w:uiPriority w:val="9"/>
    <w:unhideWhenUsed/>
    <w:qFormat/>
    <w:pPr>
      <w:keepNext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61">
    <w:name w:val="Heading 4 Char"/>
    <w:basedOn w:val="831"/>
    <w:link w:val="660"/>
    <w:uiPriority w:val="9"/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830"/>
    <w:next w:val="830"/>
    <w:link w:val="663"/>
    <w:uiPriority w:val="9"/>
    <w:unhideWhenUsed/>
    <w:qFormat/>
    <w:pPr>
      <w:keepNext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63">
    <w:name w:val="Heading 5 Char"/>
    <w:basedOn w:val="831"/>
    <w:link w:val="662"/>
    <w:uiPriority w:val="9"/>
    <w:rPr>
      <w:rFonts w:ascii="Arial" w:hAnsi="Arial" w:eastAsia="Arial" w:cs="Arial"/>
      <w:b/>
      <w:bCs/>
      <w:sz w:val="24"/>
      <w:szCs w:val="24"/>
    </w:rPr>
  </w:style>
  <w:style w:type="paragraph" w:styleId="664">
    <w:name w:val="Heading 6"/>
    <w:basedOn w:val="830"/>
    <w:next w:val="830"/>
    <w:link w:val="665"/>
    <w:uiPriority w:val="9"/>
    <w:unhideWhenUsed/>
    <w:qFormat/>
    <w:pPr>
      <w:keepNext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65">
    <w:name w:val="Heading 6 Char"/>
    <w:basedOn w:val="831"/>
    <w:link w:val="664"/>
    <w:uiPriority w:val="9"/>
    <w:rPr>
      <w:rFonts w:ascii="Arial" w:hAnsi="Arial" w:eastAsia="Arial" w:cs="Arial"/>
      <w:b/>
      <w:bCs/>
      <w:sz w:val="22"/>
      <w:szCs w:val="22"/>
    </w:rPr>
  </w:style>
  <w:style w:type="paragraph" w:styleId="666">
    <w:name w:val="Heading 7"/>
    <w:basedOn w:val="830"/>
    <w:next w:val="830"/>
    <w:link w:val="667"/>
    <w:uiPriority w:val="9"/>
    <w:unhideWhenUsed/>
    <w:qFormat/>
    <w:pPr>
      <w:keepNext/>
      <w:keepLines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67">
    <w:name w:val="Heading 7 Char"/>
    <w:basedOn w:val="831"/>
    <w:link w:val="66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68">
    <w:name w:val="Heading 8"/>
    <w:basedOn w:val="830"/>
    <w:next w:val="830"/>
    <w:link w:val="669"/>
    <w:uiPriority w:val="9"/>
    <w:unhideWhenUsed/>
    <w:qFormat/>
    <w:pPr>
      <w:keepNext/>
      <w:keepLines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69">
    <w:name w:val="Heading 8 Char"/>
    <w:basedOn w:val="831"/>
    <w:link w:val="668"/>
    <w:uiPriority w:val="9"/>
    <w:rPr>
      <w:rFonts w:ascii="Arial" w:hAnsi="Arial" w:eastAsia="Arial" w:cs="Arial"/>
      <w:i/>
      <w:iCs/>
      <w:sz w:val="22"/>
      <w:szCs w:val="22"/>
    </w:rPr>
  </w:style>
  <w:style w:type="paragraph" w:styleId="670">
    <w:name w:val="Heading 9"/>
    <w:basedOn w:val="830"/>
    <w:next w:val="830"/>
    <w:link w:val="671"/>
    <w:uiPriority w:val="9"/>
    <w:unhideWhenUsed/>
    <w:qFormat/>
    <w:pPr>
      <w:keepNext/>
      <w:keepLines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71">
    <w:name w:val="Heading 9 Char"/>
    <w:basedOn w:val="831"/>
    <w:link w:val="670"/>
    <w:uiPriority w:val="9"/>
    <w:rPr>
      <w:rFonts w:ascii="Arial" w:hAnsi="Arial" w:eastAsia="Arial" w:cs="Arial"/>
      <w:i/>
      <w:iCs/>
      <w:sz w:val="21"/>
      <w:szCs w:val="21"/>
    </w:rPr>
  </w:style>
  <w:style w:type="paragraph" w:styleId="672">
    <w:name w:val="No Spacing"/>
    <w:uiPriority w:val="1"/>
    <w:qFormat/>
    <w:pPr>
      <w:spacing w:before="0" w:after="0" w:line="240" w:lineRule="auto"/>
    </w:pPr>
  </w:style>
  <w:style w:type="paragraph" w:styleId="673">
    <w:name w:val="Title"/>
    <w:basedOn w:val="830"/>
    <w:next w:val="830"/>
    <w:link w:val="674"/>
    <w:uiPriority w:val="10"/>
    <w:qFormat/>
    <w:pPr>
      <w:spacing w:before="300" w:after="200"/>
      <w:contextualSpacing/>
    </w:pPr>
    <w:rPr>
      <w:sz w:val="48"/>
      <w:szCs w:val="48"/>
    </w:rPr>
  </w:style>
  <w:style w:type="character" w:styleId="674">
    <w:name w:val="Title Char"/>
    <w:basedOn w:val="831"/>
    <w:link w:val="673"/>
    <w:uiPriority w:val="10"/>
    <w:rPr>
      <w:sz w:val="48"/>
      <w:szCs w:val="48"/>
    </w:rPr>
  </w:style>
  <w:style w:type="paragraph" w:styleId="675">
    <w:name w:val="Subtitle"/>
    <w:basedOn w:val="830"/>
    <w:next w:val="830"/>
    <w:link w:val="676"/>
    <w:uiPriority w:val="11"/>
    <w:qFormat/>
    <w:pPr>
      <w:spacing w:before="200" w:after="200"/>
    </w:pPr>
    <w:rPr>
      <w:sz w:val="24"/>
      <w:szCs w:val="24"/>
    </w:rPr>
  </w:style>
  <w:style w:type="character" w:styleId="676">
    <w:name w:val="Subtitle Char"/>
    <w:basedOn w:val="831"/>
    <w:link w:val="675"/>
    <w:uiPriority w:val="11"/>
    <w:rPr>
      <w:sz w:val="24"/>
      <w:szCs w:val="24"/>
    </w:rPr>
  </w:style>
  <w:style w:type="paragraph" w:styleId="677">
    <w:name w:val="Quote"/>
    <w:basedOn w:val="830"/>
    <w:next w:val="830"/>
    <w:link w:val="678"/>
    <w:uiPriority w:val="29"/>
    <w:qFormat/>
    <w:pPr>
      <w:ind w:left="720" w:right="720"/>
    </w:pPr>
    <w:rPr>
      <w:i/>
    </w:rPr>
  </w:style>
  <w:style w:type="character" w:styleId="678">
    <w:name w:val="Quote Char"/>
    <w:link w:val="677"/>
    <w:uiPriority w:val="29"/>
    <w:rPr>
      <w:i/>
    </w:rPr>
  </w:style>
  <w:style w:type="paragraph" w:styleId="679">
    <w:name w:val="Intense Quote"/>
    <w:basedOn w:val="830"/>
    <w:next w:val="830"/>
    <w:link w:val="680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styleId="680">
    <w:name w:val="Intense Quote Char"/>
    <w:link w:val="679"/>
    <w:uiPriority w:val="30"/>
    <w:rPr>
      <w:i/>
    </w:rPr>
  </w:style>
  <w:style w:type="paragraph" w:styleId="681">
    <w:name w:val="Header"/>
    <w:basedOn w:val="830"/>
    <w:link w:val="682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2">
    <w:name w:val="Header Char"/>
    <w:basedOn w:val="831"/>
    <w:link w:val="681"/>
    <w:uiPriority w:val="99"/>
  </w:style>
  <w:style w:type="paragraph" w:styleId="683">
    <w:name w:val="Footer"/>
    <w:basedOn w:val="830"/>
    <w:link w:val="686"/>
    <w:uiPriority w:val="99"/>
    <w:unhideWhenUsed/>
    <w:pPr>
      <w:tabs>
        <w:tab w:val="center" w:pos="7143" w:leader="none"/>
        <w:tab w:val="right" w:pos="14287" w:leader="none"/>
      </w:tabs>
      <w:spacing w:after="0" w:line="240" w:lineRule="auto"/>
    </w:pPr>
  </w:style>
  <w:style w:type="character" w:styleId="684">
    <w:name w:val="Footer Char"/>
    <w:basedOn w:val="831"/>
    <w:link w:val="683"/>
    <w:uiPriority w:val="99"/>
  </w:style>
  <w:style w:type="paragraph" w:styleId="685">
    <w:name w:val="Caption"/>
    <w:basedOn w:val="830"/>
    <w:next w:val="83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6">
    <w:name w:val="Caption Char"/>
    <w:basedOn w:val="685"/>
    <w:link w:val="683"/>
    <w:uiPriority w:val="99"/>
  </w:style>
  <w:style w:type="table" w:styleId="687">
    <w:name w:val="Table Grid Light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88">
    <w:name w:val="Plain Table 1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89">
    <w:name w:val="Plain Table 2"/>
    <w:basedOn w:val="8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0">
    <w:name w:val="Plain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1">
    <w:name w:val="Plain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2">
    <w:name w:val="Plain Table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tcBorders>
          <w:right w:val="single" w:color="404040" w:sz="4" w:space="0"/>
        </w:tcBorders>
        <w:shd w:val="clear" w:color="ffffff"/>
      </w:tcPr>
    </w:tblStylePr>
    <w:tblStylePr w:type="firstRow">
      <w:rPr>
        <w:i/>
        <w:color w:val="404040"/>
      </w:rPr>
      <w:tcPr>
        <w:tcBorders>
          <w:left w:val="none" w:color="000000" w:sz="4" w:space="0"/>
          <w:bottom w:val="single" w:color="40404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693">
    <w:name w:val="Grid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4">
    <w:name w:val="Grid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Grid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6">
    <w:name w:val="Grid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Grid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Grid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Grid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>
    <w:name w:val="Grid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1">
    <w:name w:val="Grid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2">
    <w:name w:val="Grid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3">
    <w:name w:val="Grid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4">
    <w:name w:val="Grid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5">
    <w:name w:val="Grid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6">
    <w:name w:val="Grid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  <w:shd w:val="clear" w:color="ffffff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7">
    <w:name w:val="Grid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8">
    <w:name w:val="Grid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09">
    <w:name w:val="Grid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0">
    <w:name w:val="Grid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1">
    <w:name w:val="Grid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2">
    <w:name w:val="Grid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3">
    <w:name w:val="Grid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Col">
      <w:rPr>
        <w:i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</w:style>
  <w:style w:type="table" w:styleId="714">
    <w:name w:val="Grid Table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5">
    <w:name w:val="Grid Table 4 - Accent 1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  <w:shd w:val="clear" w:color="ffffff" w:themeColor="accent1" w:themeTint="EA" w:fill="5d8dc2" w:themeFill="accent1" w:themeFillTint="E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16">
    <w:name w:val="Grid Table 4 - Accent 2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17">
    <w:name w:val="Grid Table 4 - Accent 3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  <w:shd w:val="clear" w:color="ffffff" w:themeColor="accent3" w:themeTint="FE" w:fill="9bba59" w:themeFill="accent3" w:themeFillTint="FE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18">
    <w:name w:val="Grid Table 4 - Accent 4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19">
    <w:name w:val="Grid Table 4 - Accent 5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20">
    <w:name w:val="Grid Table 4 - Accent 6"/>
    <w:basedOn w:val="8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21">
    <w:name w:val="Grid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text1" w:fill="000000" w:themeFill="text1"/>
      </w:tcPr>
    </w:tblStylePr>
  </w:style>
  <w:style w:type="table" w:styleId="722">
    <w:name w:val="Grid Table 5 Dark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1" w:fill="4f81bd" w:themeFill="accent1"/>
      </w:tcPr>
    </w:tblStylePr>
  </w:style>
  <w:style w:type="table" w:styleId="723">
    <w:name w:val="Grid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2" w:fill="c0504d" w:themeFill="accent2"/>
      </w:tcPr>
    </w:tblStylePr>
  </w:style>
  <w:style w:type="table" w:styleId="724">
    <w:name w:val="Grid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3" w:fill="9bbb59" w:themeFill="accent3"/>
      </w:tcPr>
    </w:tblStylePr>
  </w:style>
  <w:style w:type="table" w:styleId="725">
    <w:name w:val="Grid Table 5 Dark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4" w:fill="8064a2" w:themeFill="accent4"/>
      </w:tcPr>
    </w:tblStylePr>
  </w:style>
  <w:style w:type="table" w:styleId="726">
    <w:name w:val="Grid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5" w:fill="4bacc6" w:themeFill="accent5"/>
      </w:tcPr>
    </w:tblStylePr>
  </w:style>
  <w:style w:type="table" w:styleId="727">
    <w:name w:val="Grid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000000" w:themeColor="light1" w:sz="4" w:space="0"/>
        </w:tcBorders>
        <w:shd w:val="clear" w:color="ffffff" w:themeColor="accent6" w:fill="f79646" w:themeFill="accent6"/>
      </w:tcPr>
    </w:tblStylePr>
  </w:style>
  <w:style w:type="table" w:styleId="728">
    <w:name w:val="Grid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29">
    <w:name w:val="Grid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30">
    <w:name w:val="Grid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31">
    <w:name w:val="Grid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32">
    <w:name w:val="Grid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33">
    <w:name w:val="Grid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4">
    <w:name w:val="Grid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35">
    <w:name w:val="Grid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6">
    <w:name w:val="Grid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  <w:shd w:val="clear" w:color="ffffff"/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7">
    <w:name w:val="Grid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8">
    <w:name w:val="Grid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  <w:shd w:val="clear" w:color="ffffff"/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39">
    <w:name w:val="Grid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0">
    <w:name w:val="Grid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1">
    <w:name w:val="Grid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  <w:shd w:val="clear" w:color="ffffff"/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</w:style>
  <w:style w:type="table" w:styleId="742">
    <w:name w:val="List Table 1 Light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>
    <w:name w:val="List Table 1 Light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>
    <w:name w:val="List Table 1 Light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List Table 1 Light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List Table 1 Light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List Table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50">
    <w:name w:val="List Table 2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51">
    <w:name w:val="List Table 2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52">
    <w:name w:val="List Table 2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53">
    <w:name w:val="List Table 2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54">
    <w:name w:val="List Table 2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55">
    <w:name w:val="List Table 2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56">
    <w:name w:val="List Table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7">
    <w:name w:val="List Table 3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8">
    <w:name w:val="List Table 3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9">
    <w:name w:val="List Table 3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List Table 3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>
    <w:name w:val="List Table 3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List Table 3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List Table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List Table 4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List Table 4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4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5 Dark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text1" w:themeTint="80" w:fill="7f7f7f" w:themeFill="text1" w:themeFillTint="80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text1" w:themeTint="80" w:sz="32" w:space="0"/>
          <w:bottom w:val="single" w:color="000000" w:themeColor="light1" w:sz="12" w:space="0"/>
        </w:tcBorders>
        <w:shd w:val="clear" w:color="ffffff" w:themeColor="text1" w:themeTint="80" w:fill="7f7f7f" w:themeFill="text1" w:themeFillTint="80"/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1">
    <w:name w:val="List Table 5 Dark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1" w:fill="4f81bd" w:themeFill="accent1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1" w:fill="4f81bd" w:themeFill="accent1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1" w:sz="32" w:space="0"/>
          <w:bottom w:val="single" w:color="000000" w:themeColor="light1" w:sz="12" w:space="0"/>
        </w:tcBorders>
        <w:shd w:val="clear" w:color="ffffff" w:themeColor="accent1" w:fill="4f81bd" w:themeFill="accent1"/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2">
    <w:name w:val="List Table 5 Dark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2" w:themeTint="97" w:fill="d99694" w:themeFill="accent2" w:themeFillTint="97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2" w:themeTint="97" w:sz="32" w:space="0"/>
          <w:bottom w:val="single" w:color="000000" w:themeColor="light1" w:sz="12" w:space="0"/>
        </w:tcBorders>
        <w:shd w:val="clear" w:color="ffffff" w:themeColor="accent2" w:themeTint="97" w:fill="d99694" w:themeFill="accent2" w:themeFillTint="97"/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3">
    <w:name w:val="List Table 5 Dark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3" w:themeTint="98" w:fill="c3d69b" w:themeFill="accent3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3" w:themeTint="98" w:sz="32" w:space="0"/>
          <w:bottom w:val="single" w:color="000000" w:themeColor="light1" w:sz="12" w:space="0"/>
        </w:tcBorders>
        <w:shd w:val="clear" w:color="ffffff" w:themeColor="accent3" w:themeTint="98" w:fill="c3d69b" w:themeFill="accent3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4">
    <w:name w:val="List Table 5 Dark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4" w:themeTint="9A" w:fill="b2a1c6" w:themeFill="accent4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4" w:themeTint="9A" w:sz="32" w:space="0"/>
          <w:bottom w:val="single" w:color="000000" w:themeColor="light1" w:sz="12" w:space="0"/>
        </w:tcBorders>
        <w:shd w:val="clear" w:color="ffffff" w:themeColor="accent4" w:themeTint="9A" w:fill="b2a1c6" w:themeFill="accent4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5">
    <w:name w:val="List Table 5 Dark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5" w:themeTint="9A" w:fill="91cddc" w:themeFill="accent5" w:themeFillTint="9A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5" w:themeTint="9A" w:sz="32" w:space="0"/>
          <w:bottom w:val="single" w:color="000000" w:themeColor="light1" w:sz="12" w:space="0"/>
        </w:tcBorders>
        <w:shd w:val="clear" w:color="ffffff" w:themeColor="accent5" w:themeTint="9A" w:fill="91cddc" w:themeFill="accent5" w:themeFillTint="9A"/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6">
    <w:name w:val="List Table 5 Dark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1Vert">
      <w:tcPr>
        <w:tcBorders>
          <w:left w:val="single" w:color="000000" w:themeColor="light1" w:sz="4" w:space="0"/>
          <w:right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Horz">
      <w:tcPr>
        <w:tcBorders>
          <w:top w:val="single" w:color="000000" w:themeColor="light1" w:sz="4" w:space="0"/>
          <w:bottom w:val="single" w:color="000000" w:themeColor="light1" w:sz="4" w:space="0"/>
        </w:tcBorders>
        <w:shd w:val="clear" w:color="ffffff" w:themeColor="accent6" w:themeTint="98" w:fill="f9bf90" w:themeFill="accent6" w:themeFillTint="98"/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tcBorders>
          <w:top w:val="single" w:color="000000" w:themeColor="accent6" w:themeTint="98" w:sz="32" w:space="0"/>
          <w:bottom w:val="single" w:color="000000" w:themeColor="light1" w:sz="12" w:space="0"/>
        </w:tcBorders>
        <w:shd w:val="clear" w:color="ffffff" w:themeColor="accent6" w:themeTint="98" w:fill="f9bf90" w:themeFill="accent6" w:themeFillTint="98"/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77">
    <w:name w:val="List Table 6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78">
    <w:name w:val="List Table 6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79">
    <w:name w:val="List Table 6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80">
    <w:name w:val="List Table 6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81">
    <w:name w:val="List Table 6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82">
    <w:name w:val="List Table 6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83">
    <w:name w:val="List Table 6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84">
    <w:name w:val="List Table 7 Colorful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  <w:shd w:val="clear" w:color="ffffff"/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85">
    <w:name w:val="List Table 7 Colorful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  <w:shd w:val="clear" w:color="ffffff"/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86">
    <w:name w:val="List Table 7 Colorful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  <w:shd w:val="clear" w:color="ffffff"/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87">
    <w:name w:val="List Table 7 Colorful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88">
    <w:name w:val="List Table 7 Colorful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89">
    <w:name w:val="List Table 7 Colorful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  <w:shd w:val="clear" w:color="ffffff"/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790">
    <w:name w:val="List Table 7 Colorful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  <w:shd w:val="clear" w:color="ffffff"/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  <w:shd w:val="clear" w:color="ffffff"/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  <w:shd w:val="clear" w:color="ffffff" w:themeColor="light1" w:fill="ffffff" w:themeFill="light1"/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791">
    <w:name w:val="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2">
    <w:name w:val="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793">
    <w:name w:val="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794">
    <w:name w:val="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795">
    <w:name w:val="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796">
    <w:name w:val="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797">
    <w:name w:val="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798">
    <w:name w:val="Bordered &amp; Lined - Accent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799">
    <w:name w:val="Bordered &amp; Lined - Accent 1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0">
    <w:name w:val="Bordered &amp; Lined - Accent 2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1">
    <w:name w:val="Bordered &amp; Lined - Accent 3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2">
    <w:name w:val="Bordered &amp; Lined - Accent 4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3">
    <w:name w:val="Bordered &amp; Lined - Accent 5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4">
    <w:name w:val="Bordered &amp; Lined - Accent 6"/>
    <w:basedOn w:val="8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5">
    <w:name w:val="Bordered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06">
    <w:name w:val="Bordered - Accent 1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07">
    <w:name w:val="Bordered - Accent 2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08">
    <w:name w:val="Bordered - Accent 3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09">
    <w:name w:val="Bordered - Accent 4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10">
    <w:name w:val="Bordered - Accent 5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11">
    <w:name w:val="Bordered - Accent 6"/>
    <w:basedOn w:val="8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12">
    <w:name w:val="Hyperlink"/>
    <w:uiPriority w:val="99"/>
    <w:unhideWhenUsed/>
    <w:rPr>
      <w:color w:val="0000ff" w:themeColor="hyperlink"/>
      <w:u w:val="single"/>
    </w:rPr>
  </w:style>
  <w:style w:type="paragraph" w:styleId="813">
    <w:name w:val="footnote text"/>
    <w:basedOn w:val="830"/>
    <w:link w:val="814"/>
    <w:uiPriority w:val="99"/>
    <w:semiHidden/>
    <w:unhideWhenUsed/>
    <w:pPr>
      <w:spacing w:after="40" w:line="240" w:lineRule="auto"/>
    </w:pPr>
    <w:rPr>
      <w:sz w:val="18"/>
    </w:rPr>
  </w:style>
  <w:style w:type="character" w:styleId="814">
    <w:name w:val="Footnote Text Char"/>
    <w:link w:val="813"/>
    <w:uiPriority w:val="99"/>
    <w:rPr>
      <w:sz w:val="18"/>
    </w:rPr>
  </w:style>
  <w:style w:type="character" w:styleId="815">
    <w:name w:val="footnote reference"/>
    <w:basedOn w:val="831"/>
    <w:uiPriority w:val="99"/>
    <w:unhideWhenUsed/>
    <w:rPr>
      <w:vertAlign w:val="superscript"/>
    </w:rPr>
  </w:style>
  <w:style w:type="paragraph" w:styleId="816">
    <w:name w:val="endnote text"/>
    <w:basedOn w:val="830"/>
    <w:link w:val="817"/>
    <w:uiPriority w:val="99"/>
    <w:semiHidden/>
    <w:unhideWhenUsed/>
    <w:pPr>
      <w:spacing w:after="0" w:line="240" w:lineRule="auto"/>
    </w:pPr>
    <w:rPr>
      <w:sz w:val="20"/>
    </w:rPr>
  </w:style>
  <w:style w:type="character" w:styleId="817">
    <w:name w:val="Endnote Text Char"/>
    <w:link w:val="816"/>
    <w:uiPriority w:val="99"/>
    <w:rPr>
      <w:sz w:val="20"/>
    </w:rPr>
  </w:style>
  <w:style w:type="character" w:styleId="818">
    <w:name w:val="endnote reference"/>
    <w:basedOn w:val="831"/>
    <w:uiPriority w:val="99"/>
    <w:semiHidden/>
    <w:unhideWhenUsed/>
    <w:rPr>
      <w:vertAlign w:val="superscript"/>
    </w:rPr>
  </w:style>
  <w:style w:type="paragraph" w:styleId="819">
    <w:name w:val="toc 1"/>
    <w:basedOn w:val="830"/>
    <w:next w:val="830"/>
    <w:uiPriority w:val="39"/>
    <w:unhideWhenUsed/>
    <w:pPr>
      <w:spacing w:after="57"/>
      <w:ind w:left="0" w:right="0" w:firstLine="0"/>
    </w:pPr>
  </w:style>
  <w:style w:type="paragraph" w:styleId="820">
    <w:name w:val="toc 2"/>
    <w:basedOn w:val="830"/>
    <w:next w:val="830"/>
    <w:uiPriority w:val="39"/>
    <w:unhideWhenUsed/>
    <w:pPr>
      <w:spacing w:after="57"/>
      <w:ind w:left="283" w:right="0" w:firstLine="0"/>
    </w:pPr>
  </w:style>
  <w:style w:type="paragraph" w:styleId="821">
    <w:name w:val="toc 3"/>
    <w:basedOn w:val="830"/>
    <w:next w:val="830"/>
    <w:uiPriority w:val="39"/>
    <w:unhideWhenUsed/>
    <w:pPr>
      <w:spacing w:after="57"/>
      <w:ind w:left="567" w:right="0" w:firstLine="0"/>
    </w:pPr>
  </w:style>
  <w:style w:type="paragraph" w:styleId="822">
    <w:name w:val="toc 4"/>
    <w:basedOn w:val="830"/>
    <w:next w:val="830"/>
    <w:uiPriority w:val="39"/>
    <w:unhideWhenUsed/>
    <w:pPr>
      <w:spacing w:after="57"/>
      <w:ind w:left="850" w:right="0" w:firstLine="0"/>
    </w:pPr>
  </w:style>
  <w:style w:type="paragraph" w:styleId="823">
    <w:name w:val="toc 5"/>
    <w:basedOn w:val="830"/>
    <w:next w:val="830"/>
    <w:uiPriority w:val="39"/>
    <w:unhideWhenUsed/>
    <w:pPr>
      <w:spacing w:after="57"/>
      <w:ind w:left="1134" w:right="0" w:firstLine="0"/>
    </w:pPr>
  </w:style>
  <w:style w:type="paragraph" w:styleId="824">
    <w:name w:val="toc 6"/>
    <w:basedOn w:val="830"/>
    <w:next w:val="830"/>
    <w:uiPriority w:val="39"/>
    <w:unhideWhenUsed/>
    <w:pPr>
      <w:spacing w:after="57"/>
      <w:ind w:left="1417" w:right="0" w:firstLine="0"/>
    </w:pPr>
  </w:style>
  <w:style w:type="paragraph" w:styleId="825">
    <w:name w:val="toc 7"/>
    <w:basedOn w:val="830"/>
    <w:next w:val="830"/>
    <w:uiPriority w:val="39"/>
    <w:unhideWhenUsed/>
    <w:pPr>
      <w:spacing w:after="57"/>
      <w:ind w:left="1701" w:right="0" w:firstLine="0"/>
    </w:pPr>
  </w:style>
  <w:style w:type="paragraph" w:styleId="826">
    <w:name w:val="toc 8"/>
    <w:basedOn w:val="830"/>
    <w:next w:val="830"/>
    <w:uiPriority w:val="39"/>
    <w:unhideWhenUsed/>
    <w:pPr>
      <w:spacing w:after="57"/>
      <w:ind w:left="1984" w:right="0" w:firstLine="0"/>
    </w:pPr>
  </w:style>
  <w:style w:type="paragraph" w:styleId="827">
    <w:name w:val="toc 9"/>
    <w:basedOn w:val="830"/>
    <w:next w:val="830"/>
    <w:uiPriority w:val="39"/>
    <w:unhideWhenUsed/>
    <w:pPr>
      <w:spacing w:after="57"/>
      <w:ind w:left="2268" w:right="0" w:firstLine="0"/>
    </w:pPr>
  </w:style>
  <w:style w:type="paragraph" w:styleId="828">
    <w:name w:val="TOC Heading"/>
    <w:uiPriority w:val="39"/>
    <w:unhideWhenUsed/>
  </w:style>
  <w:style w:type="paragraph" w:styleId="829">
    <w:name w:val="table of figures"/>
    <w:basedOn w:val="830"/>
    <w:next w:val="830"/>
    <w:uiPriority w:val="99"/>
    <w:unhideWhenUsed/>
    <w:pPr>
      <w:spacing w:after="0" w:afterAutospacing="0"/>
    </w:pPr>
  </w:style>
  <w:style w:type="paragraph" w:styleId="830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831" w:default="1">
    <w:name w:val="Default Paragraph Font"/>
    <w:uiPriority w:val="1"/>
    <w:semiHidden/>
    <w:unhideWhenUsed/>
  </w:style>
  <w:style w:type="table" w:styleId="83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33" w:default="1">
    <w:name w:val="No List"/>
    <w:uiPriority w:val="99"/>
    <w:semiHidden/>
    <w:unhideWhenUsed/>
  </w:style>
  <w:style w:type="table" w:styleId="834">
    <w:name w:val="Table Grid"/>
    <w:basedOn w:val="832"/>
    <w:pPr>
      <w:spacing w:after="0" w:line="240" w:lineRule="auto"/>
    </w:pPr>
    <w:rPr>
      <w:rFonts w:ascii="Calibri" w:hAnsi="Calibri" w:eastAsia="Calibri" w:cs="Times New Roman"/>
      <w:sz w:val="20"/>
      <w:szCs w:val="20"/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paragraph" w:styleId="835">
    <w:name w:val="List Paragraph"/>
    <w:basedOn w:val="830"/>
    <w:uiPriority w:val="34"/>
    <w:qFormat/>
    <w:pPr>
      <w:ind w:left="720"/>
      <w:contextualSpacing/>
    </w:pPr>
  </w:style>
  <w:style w:type="paragraph" w:styleId="836">
    <w:name w:val="Balloon Text"/>
    <w:basedOn w:val="830"/>
    <w:link w:val="837"/>
    <w:uiPriority w:val="99"/>
    <w:semiHidden/>
    <w:unhideWhenUsed/>
    <w:rPr>
      <w:rFonts w:ascii="Tahoma" w:hAnsi="Tahoma" w:cs="Tahoma"/>
      <w:sz w:val="16"/>
      <w:szCs w:val="16"/>
    </w:rPr>
  </w:style>
  <w:style w:type="character" w:styleId="837" w:customStyle="1">
    <w:name w:val="Текст выноски Знак"/>
    <w:basedOn w:val="831"/>
    <w:link w:val="836"/>
    <w:uiPriority w:val="99"/>
    <w:semiHidden/>
    <w:rPr>
      <w:rFonts w:ascii="Tahoma" w:hAnsi="Tahoma" w:eastAsia="Times New Roman" w:cs="Tahoma"/>
      <w:sz w:val="16"/>
      <w:szCs w:val="16"/>
      <w:lang w:eastAsia="ru-RU"/>
    </w:rPr>
  </w:style>
  <w:style w:type="paragraph" w:styleId="838">
    <w:name w:val="Body Text Indent"/>
    <w:basedOn w:val="830"/>
    <w:link w:val="839"/>
    <w:pPr>
      <w:ind w:firstLine="708"/>
    </w:pPr>
    <w:rPr>
      <w:szCs w:val="24"/>
    </w:rPr>
  </w:style>
  <w:style w:type="character" w:styleId="839" w:customStyle="1">
    <w:name w:val="Основной текст с отступом Знак"/>
    <w:basedOn w:val="831"/>
    <w:link w:val="838"/>
    <w:rPr>
      <w:rFonts w:ascii="Times New Roman" w:hAnsi="Times New Roman" w:eastAsia="Times New Roman" w:cs="Times New Roman"/>
      <w:sz w:val="28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7646A-85F6-4F86-A3F6-09D1C1E88B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Krokoz™</Company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Тимофеева А.Н.</dc:creator>
  <cp:revision>17</cp:revision>
  <dcterms:created xsi:type="dcterms:W3CDTF">2023-06-14T04:17:00Z</dcterms:created>
  <dcterms:modified xsi:type="dcterms:W3CDTF">2025-06-10T09:29:50Z</dcterms:modified>
</cp:coreProperties>
</file>